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r>
        <w:rPr>
          <w:rFonts w:hint="eastAsia"/>
        </w:rPr>
        <w:t>业务操作指引（试点版）税收减免报告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88" w:beforeAutospacing="0" w:after="0" w:afterAutospacing="0"/>
        <w:ind w:left="0" w:right="0" w:firstLine="0"/>
        <w:jc w:val="left"/>
        <w:rPr>
          <w:rFonts w:ascii="PingFang SC-Regular" w:hAnsi="PingFang SC-Regular" w:eastAsia="PingFang SC-Regular" w:cs="PingFang SC-Regular"/>
          <w:i w:val="0"/>
          <w:caps w:val="0"/>
          <w:color w:val="000000"/>
          <w:spacing w:val="0"/>
          <w:sz w:val="21"/>
          <w:szCs w:val="21"/>
        </w:rPr>
      </w:pPr>
      <w:r>
        <w:rPr>
          <w:rFonts w:hint="default" w:ascii="PingFang SC-Regular" w:hAnsi="PingFang SC-Regular" w:eastAsia="PingFang SC-Regular" w:cs="PingFang SC-Regular"/>
          <w:i w:val="0"/>
          <w:caps w:val="0"/>
          <w:color w:val="000000"/>
          <w:spacing w:val="0"/>
          <w:kern w:val="0"/>
          <w:sz w:val="21"/>
          <w:szCs w:val="21"/>
          <w:bdr w:val="none" w:color="auto" w:sz="0" w:space="0"/>
          <w:shd w:val="clear" w:fill="FFFFFF"/>
          <w:lang w:val="en-US" w:eastAsia="zh-CN" w:bidi="ar"/>
        </w:rPr>
        <w:t>文本</w:t>
      </w:r>
    </w:p>
    <w:p>
      <w:pPr>
        <w:pStyle w:val="2"/>
        <w:keepNext w:val="0"/>
        <w:keepLines w:val="0"/>
        <w:widowControl/>
        <w:suppressLineNumbers w:val="0"/>
        <w:spacing w:before="0" w:beforeAutospacing="0" w:after="0" w:afterAutospacing="0" w:line="315" w:lineRule="atLeast"/>
        <w:ind w:left="0" w:firstLine="475"/>
        <w:jc w:val="left"/>
      </w:pPr>
      <w:r>
        <w:rPr>
          <w:rFonts w:hint="eastAsia" w:ascii="宋体" w:hAnsi="宋体" w:eastAsia="宋体" w:cs="宋体"/>
          <w:i w:val="0"/>
          <w:caps w:val="0"/>
          <w:color w:val="000000"/>
          <w:spacing w:val="0"/>
          <w:sz w:val="24"/>
          <w:szCs w:val="24"/>
          <w:shd w:val="clear" w:fill="FFFFFF"/>
        </w:rPr>
        <w:t>一、业务概述</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符合报告类税收减免的纳税人，如需享受相应税收减免，应在首次享受减免税的申报阶段或在申报征期后的其他规定期限内提交相关资料向主管税务机关申请办理税收减免报告。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纳税人在符合减免税条件期间，备案材料一次性报备，在政策存续期可一直享受，当减免税情形发生变化时，应当及时向税务机关报告。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二、办理流程</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即时办结</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三、关联场景</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689"/>
        <w:gridCol w:w="690"/>
        <w:gridCol w:w="828"/>
        <w:gridCol w:w="1449"/>
        <w:gridCol w:w="31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97" w:hRule="atLeast"/>
          <w:jc w:val="center"/>
        </w:trPr>
        <w:tc>
          <w:tcPr>
            <w:tcW w:w="5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Style w:val="5"/>
                <w:rFonts w:hint="eastAsia" w:ascii="宋体" w:hAnsi="宋体" w:eastAsia="宋体" w:cs="宋体"/>
                <w:b/>
                <w:color w:val="000000"/>
                <w:sz w:val="24"/>
                <w:szCs w:val="24"/>
                <w:bdr w:val="none" w:color="auto" w:sz="0" w:space="0"/>
              </w:rPr>
              <w:t>场景编号</w:t>
            </w:r>
          </w:p>
        </w:tc>
        <w:tc>
          <w:tcPr>
            <w:tcW w:w="5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Style w:val="5"/>
                <w:rFonts w:hint="eastAsia" w:ascii="宋体" w:hAnsi="宋体" w:eastAsia="宋体" w:cs="宋体"/>
                <w:b/>
                <w:color w:val="000000"/>
                <w:sz w:val="24"/>
                <w:szCs w:val="24"/>
                <w:bdr w:val="none" w:color="auto" w:sz="0" w:space="0"/>
              </w:rPr>
              <w:t>场景顺序</w:t>
            </w:r>
          </w:p>
        </w:tc>
        <w:tc>
          <w:tcPr>
            <w:tcW w:w="6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Style w:val="5"/>
                <w:rFonts w:hint="eastAsia" w:ascii="宋体" w:hAnsi="宋体" w:eastAsia="宋体" w:cs="宋体"/>
                <w:b/>
                <w:color w:val="000000"/>
                <w:sz w:val="24"/>
                <w:szCs w:val="24"/>
                <w:bdr w:val="none" w:color="auto" w:sz="0" w:space="0"/>
              </w:rPr>
              <w:t>是否强制关联</w:t>
            </w:r>
          </w:p>
        </w:tc>
        <w:tc>
          <w:tcPr>
            <w:tcW w:w="10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Style w:val="5"/>
                <w:rFonts w:hint="eastAsia" w:ascii="宋体" w:hAnsi="宋体" w:eastAsia="宋体" w:cs="宋体"/>
                <w:b/>
                <w:color w:val="000000"/>
                <w:sz w:val="24"/>
                <w:szCs w:val="24"/>
                <w:bdr w:val="none" w:color="auto" w:sz="0" w:space="0"/>
              </w:rPr>
              <w:t>场景名称</w:t>
            </w:r>
          </w:p>
        </w:tc>
        <w:tc>
          <w:tcPr>
            <w:tcW w:w="23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Style w:val="5"/>
                <w:rFonts w:hint="eastAsia" w:ascii="宋体" w:hAnsi="宋体" w:eastAsia="宋体" w:cs="宋体"/>
                <w:b/>
                <w:color w:val="000000"/>
                <w:sz w:val="24"/>
                <w:szCs w:val="24"/>
                <w:bdr w:val="none" w:color="auto" w:sz="0" w:space="0"/>
              </w:rPr>
              <w:t>关联关系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648" w:hRule="atLeast"/>
          <w:jc w:val="center"/>
        </w:trPr>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1</w:t>
            </w: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前序场景</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非强制</w:t>
            </w:r>
          </w:p>
        </w:tc>
        <w:tc>
          <w:tcPr>
            <w:tcW w:w="10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增值税及附加税费申报（一般纳税人适用）</w:t>
            </w:r>
          </w:p>
        </w:tc>
        <w:tc>
          <w:tcPr>
            <w:tcW w:w="23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left"/>
            </w:pPr>
            <w:r>
              <w:rPr>
                <w:rFonts w:hint="eastAsia" w:ascii="宋体" w:hAnsi="宋体" w:eastAsia="宋体" w:cs="宋体"/>
                <w:color w:val="000000"/>
                <w:sz w:val="24"/>
                <w:szCs w:val="24"/>
                <w:bdr w:val="none" w:color="auto" w:sz="0" w:space="0"/>
              </w:rPr>
              <w:t>纳税人填报增值税一般纳税人申报表即征即退相关栏次时，由数据驱动发起，推送提示纳税人是否先进行税收减免报告。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636" w:hRule="atLeast"/>
          <w:jc w:val="center"/>
        </w:trPr>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2</w:t>
            </w: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前序场景</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非强制</w:t>
            </w:r>
          </w:p>
        </w:tc>
        <w:tc>
          <w:tcPr>
            <w:tcW w:w="10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center"/>
            </w:pPr>
            <w:r>
              <w:rPr>
                <w:rFonts w:hint="eastAsia" w:ascii="宋体" w:hAnsi="宋体" w:eastAsia="宋体" w:cs="宋体"/>
                <w:color w:val="000000"/>
                <w:sz w:val="24"/>
                <w:szCs w:val="24"/>
                <w:bdr w:val="none" w:color="auto" w:sz="0" w:space="0"/>
              </w:rPr>
              <w:t>申报错误更正</w:t>
            </w:r>
          </w:p>
        </w:tc>
        <w:tc>
          <w:tcPr>
            <w:tcW w:w="23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jc w:val="left"/>
            </w:pPr>
            <w:r>
              <w:rPr>
                <w:rFonts w:hint="eastAsia" w:ascii="宋体" w:hAnsi="宋体" w:eastAsia="宋体" w:cs="宋体"/>
                <w:color w:val="000000"/>
                <w:sz w:val="24"/>
                <w:szCs w:val="24"/>
                <w:bdr w:val="none" w:color="auto" w:sz="0" w:space="0"/>
              </w:rPr>
              <w:t>通过申报错误更正模块，发现纳税人在填报增值税一般纳税人申报表即征即退相关栏次时，由数据驱动发起，推送提示纳税人是否先进行税收减免报告。</w:t>
            </w: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四、功能路径</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（一）税收减免报告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（1）【我要办税】-【税收减免】-【税收减免报告】。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（2）应办理减免报告消息提醒进入办税功能。</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（3）通过首页搜索栏输入关键字查找出的“税收减免核准”进入。</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（二）职工名册采集</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（1）【我要办税】-【税收减免】-【职工名册采集】。</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（2）通过首页搜索栏输入关键字查找出的“职工名册采集”进入。</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（3）在税收减免报告中，选择减免税报告事项为“安置残疾人就业增值税即征即退”，系统检查纳税人是否维护职工名册，未维护系统会提示纳税人，点击【去维护】后进入。</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五、操作步骤</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1.登录新电子税务局后，点击【我要办税】-【税收减免】-【税收减免报告】功能菜单。</w:t>
      </w:r>
    </w:p>
    <w:p>
      <w:pPr>
        <w:pStyle w:val="2"/>
        <w:keepNext w:val="0"/>
        <w:keepLines w:val="0"/>
        <w:widowControl/>
        <w:suppressLineNumbers w:val="0"/>
        <w:spacing w:before="0" w:beforeAutospacing="0" w:after="0" w:afterAutospacing="0" w:line="288"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3228975"/>
            <wp:effectExtent l="0" t="0" r="11430" b="190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276850" cy="3228975"/>
                    </a:xfrm>
                    <a:prstGeom prst="rect">
                      <a:avLst/>
                    </a:prstGeom>
                    <a:noFill/>
                    <a:ln w="9525">
                      <a:noFill/>
                    </a:ln>
                  </pic:spPr>
                </pic:pic>
              </a:graphicData>
            </a:graphic>
          </wp:inline>
        </w:drawing>
      </w:r>
      <w:bookmarkStart w:id="0" w:name="图片 7"/>
      <w:bookmarkEnd w:id="0"/>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2.进入系统后，纳税人选择“减免税备案事项”，并根据事项选择享受税收优惠的起止时间。</w:t>
      </w:r>
    </w:p>
    <w:p>
      <w:pPr>
        <w:pStyle w:val="2"/>
        <w:keepNext w:val="0"/>
        <w:keepLines w:val="0"/>
        <w:widowControl/>
        <w:suppressLineNumbers w:val="0"/>
        <w:spacing w:before="0" w:beforeAutospacing="0" w:after="0" w:afterAutospacing="0" w:line="288"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2419350"/>
            <wp:effectExtent l="0" t="0" r="11430" b="381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276850" cy="2419350"/>
                    </a:xfrm>
                    <a:prstGeom prst="rect">
                      <a:avLst/>
                    </a:prstGeom>
                    <a:noFill/>
                    <a:ln w="9525">
                      <a:noFill/>
                    </a:ln>
                  </pic:spPr>
                </pic:pic>
              </a:graphicData>
            </a:graphic>
          </wp:inline>
        </w:drawing>
      </w:r>
      <w:bookmarkStart w:id="1" w:name="图片 10"/>
      <w:bookmarkEnd w:id="1"/>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3.系统根据纳税人选择的“减免税备案事项”，自动带出该事项需要上传的附列资料，纳税人分别点击“上传”操作，进行附报资料上传并提交。</w:t>
      </w:r>
    </w:p>
    <w:p>
      <w:pPr>
        <w:pStyle w:val="2"/>
        <w:keepNext w:val="0"/>
        <w:keepLines w:val="0"/>
        <w:widowControl/>
        <w:suppressLineNumbers w:val="0"/>
        <w:spacing w:before="0" w:beforeAutospacing="0" w:after="0" w:afterAutospacing="0" w:line="192"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2419350"/>
            <wp:effectExtent l="0" t="0" r="11430" b="3810"/>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6"/>
                    <a:stretch>
                      <a:fillRect/>
                    </a:stretch>
                  </pic:blipFill>
                  <pic:spPr>
                    <a:xfrm>
                      <a:off x="0" y="0"/>
                      <a:ext cx="5276850" cy="2419350"/>
                    </a:xfrm>
                    <a:prstGeom prst="rect">
                      <a:avLst/>
                    </a:prstGeom>
                    <a:noFill/>
                    <a:ln w="9525">
                      <a:noFill/>
                    </a:ln>
                  </pic:spPr>
                </pic:pic>
              </a:graphicData>
            </a:graphic>
          </wp:inline>
        </w:drawing>
      </w:r>
      <w:bookmarkStart w:id="2" w:name="图片 9"/>
      <w:bookmarkEnd w:id="2"/>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4.纳税人如果选择的减免税报告事项为“安置残疾人就业增值税即征即退”，系统检查纳税人是否维护职工名册，未维护系统会提示纳税人，纳税人点击【去维护】后进入职工名册，后续流程详见“职工名册”操作手册。</w:t>
      </w:r>
    </w:p>
    <w:p>
      <w:pPr>
        <w:pStyle w:val="2"/>
        <w:keepNext w:val="0"/>
        <w:keepLines w:val="0"/>
        <w:widowControl/>
        <w:suppressLineNumbers w:val="0"/>
        <w:spacing w:before="0" w:beforeAutospacing="0" w:after="0" w:afterAutospacing="0" w:line="192"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2419350"/>
            <wp:effectExtent l="0" t="0" r="11430" b="3810"/>
            <wp:docPr id="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9"/>
                    <pic:cNvPicPr>
                      <a:picLocks noChangeAspect="1"/>
                    </pic:cNvPicPr>
                  </pic:nvPicPr>
                  <pic:blipFill>
                    <a:blip r:embed="rId7"/>
                    <a:stretch>
                      <a:fillRect/>
                    </a:stretch>
                  </pic:blipFill>
                  <pic:spPr>
                    <a:xfrm>
                      <a:off x="0" y="0"/>
                      <a:ext cx="5276850" cy="2419350"/>
                    </a:xfrm>
                    <a:prstGeom prst="rect">
                      <a:avLst/>
                    </a:prstGeom>
                    <a:noFill/>
                    <a:ln w="9525">
                      <a:noFill/>
                    </a:ln>
                  </pic:spPr>
                </pic:pic>
              </a:graphicData>
            </a:graphic>
          </wp:inline>
        </w:drawing>
      </w:r>
      <w:bookmarkStart w:id="3" w:name="图片 13"/>
      <w:bookmarkEnd w:id="3"/>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5.纳税人确认数据无误后，点击【提交】后，系统进入提交。</w:t>
      </w:r>
    </w:p>
    <w:p>
      <w:pPr>
        <w:pStyle w:val="2"/>
        <w:keepNext w:val="0"/>
        <w:keepLines w:val="0"/>
        <w:widowControl/>
        <w:suppressLineNumbers w:val="0"/>
        <w:spacing w:before="0" w:beforeAutospacing="0" w:after="0" w:afterAutospacing="0" w:line="192"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2419350"/>
            <wp:effectExtent l="0" t="0" r="11430" b="3810"/>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8"/>
                    <a:stretch>
                      <a:fillRect/>
                    </a:stretch>
                  </pic:blipFill>
                  <pic:spPr>
                    <a:xfrm>
                      <a:off x="0" y="0"/>
                      <a:ext cx="5276850" cy="2419350"/>
                    </a:xfrm>
                    <a:prstGeom prst="rect">
                      <a:avLst/>
                    </a:prstGeom>
                    <a:noFill/>
                    <a:ln w="9525">
                      <a:noFill/>
                    </a:ln>
                  </pic:spPr>
                </pic:pic>
              </a:graphicData>
            </a:graphic>
          </wp:inline>
        </w:drawing>
      </w:r>
      <w:bookmarkStart w:id="4" w:name="图片 11"/>
      <w:bookmarkEnd w:id="4"/>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6.显示办理成功，完成“减免税报告事项”报告业务办理。</w:t>
      </w:r>
    </w:p>
    <w:p>
      <w:pPr>
        <w:pStyle w:val="2"/>
        <w:keepNext w:val="0"/>
        <w:keepLines w:val="0"/>
        <w:widowControl/>
        <w:suppressLineNumbers w:val="0"/>
        <w:spacing w:before="0" w:beforeAutospacing="0" w:after="0" w:afterAutospacing="0" w:line="192" w:lineRule="atLeast"/>
        <w:ind w:left="0" w:right="0"/>
        <w:jc w:val="center"/>
      </w:pPr>
      <w:r>
        <w:rPr>
          <w:rFonts w:hint="eastAsia" w:ascii="宋体" w:hAnsi="宋体" w:eastAsia="宋体" w:cs="宋体"/>
          <w:i w:val="0"/>
          <w:caps w:val="0"/>
          <w:spacing w:val="0"/>
          <w:sz w:val="19"/>
          <w:szCs w:val="19"/>
          <w:bdr w:val="none" w:color="auto" w:sz="0" w:space="0"/>
          <w:shd w:val="clear" w:fill="FFFFFF"/>
        </w:rPr>
        <w:drawing>
          <wp:inline distT="0" distB="0" distL="114300" distR="114300">
            <wp:extent cx="5276850" cy="2419350"/>
            <wp:effectExtent l="0" t="0" r="11430" b="3810"/>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9"/>
                    <a:stretch>
                      <a:fillRect/>
                    </a:stretch>
                  </pic:blipFill>
                  <pic:spPr>
                    <a:xfrm>
                      <a:off x="0" y="0"/>
                      <a:ext cx="5276850" cy="2419350"/>
                    </a:xfrm>
                    <a:prstGeom prst="rect">
                      <a:avLst/>
                    </a:prstGeom>
                    <a:noFill/>
                    <a:ln w="9525">
                      <a:noFill/>
                    </a:ln>
                  </pic:spPr>
                </pic:pic>
              </a:graphicData>
            </a:graphic>
          </wp:inline>
        </w:drawing>
      </w:r>
      <w:bookmarkStart w:id="5" w:name="图片 12"/>
      <w:bookmarkEnd w:id="5"/>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六、报送资料</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1.安置残疾人就业增值税即征即退资料清单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2936"/>
        <w:gridCol w:w="478"/>
        <w:gridCol w:w="751"/>
        <w:gridCol w:w="478"/>
        <w:gridCol w:w="478"/>
        <w:gridCol w:w="615"/>
        <w:gridCol w:w="6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1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5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4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5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1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安置的残疾人的《中华人民共和国残疾人证》或者《中华人民共和国残疾军人证（1至8级）》复印件</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2</w:t>
            </w:r>
          </w:p>
        </w:tc>
        <w:tc>
          <w:tcPr>
            <w:tcW w:w="21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安置精神残疾人的，提供精神残疾人同意就业的书面声明以及其法定监护人签字或印章的证明精神残疾人具有劳动条件和劳动意愿的书面材料</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3</w:t>
            </w:r>
          </w:p>
        </w:tc>
        <w:tc>
          <w:tcPr>
            <w:tcW w:w="21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安置的残疾人的身份证明复印件</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2.新型墙体材料增值税即征即退资料清单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2663"/>
        <w:gridCol w:w="478"/>
        <w:gridCol w:w="819"/>
        <w:gridCol w:w="478"/>
        <w:gridCol w:w="478"/>
        <w:gridCol w:w="819"/>
        <w:gridCol w:w="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19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6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6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5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19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国家发展和改革委员会《产业结构调整指导目录》中的非禁止类、非限制类项目的声明材料</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2</w:t>
            </w:r>
          </w:p>
        </w:tc>
        <w:tc>
          <w:tcPr>
            <w:tcW w:w="19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环境保护部《环境保护综合名录》中的非“高污染、高环境风险”产品或者非重污染工艺的声明材料</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3.飞机维修劳务增值税即征即退资料清单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2732"/>
        <w:gridCol w:w="478"/>
        <w:gridCol w:w="751"/>
        <w:gridCol w:w="478"/>
        <w:gridCol w:w="478"/>
        <w:gridCol w:w="683"/>
        <w:gridCol w:w="7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0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5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5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5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A03050《税务资格备案表》</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2</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从事飞机维修劳务的相关资质材料</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4.光伏发电增值税即征即退资料清单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自产的利用太阳能生产的电力产品的相关材料</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5.铂金增值税即征即退资料清单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国内生产企业自产自销铂金的证明材料</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2</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上海黄金交易所开具的《上海黄金交易所发票》结算联</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6.黄金期货交易增值税即征即退资料清单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黄金期货交易资格证明材料</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8.软件产品增值税即征即退资料清单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软件产业主管部门颁发的《软件产品登记证书》或著作权行政管理部门颁发的《计算机软件著作权登记证书》</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9.有形动产融资租赁服务增值税即征即退资料清单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有形动产融资租赁服务业务合同复印件</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10.资源综合利用产品及劳务增值税即征即退资料清单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2732"/>
        <w:gridCol w:w="478"/>
        <w:gridCol w:w="819"/>
        <w:gridCol w:w="478"/>
        <w:gridCol w:w="478"/>
        <w:gridCol w:w="751"/>
        <w:gridCol w:w="6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0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6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5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5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质量检测机构出具的质量检测合格报告复印件</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2</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省级及以上环境保护部门颁发的《危险废物经营许可证》原件</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3</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省级及以上环境保护部门颁发的《危险废物经营许可证》复印件。</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4</w:t>
            </w:r>
          </w:p>
        </w:tc>
        <w:tc>
          <w:tcPr>
            <w:tcW w:w="20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不属于国家发展改革委《产业结构调整指导目录》中的禁止类、限制类项目和环境保护部《环境保护综合名录》中的“高污染、高环境风险”产品或者重污染工艺，以及符合《资源综合利用产品和劳务增值税优惠目录》规定的技术标准和相关条件的书面声明材料</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6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5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11.管道运输服务增值税即征即退资料清单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管道运输服务业务合同复印件</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12.动漫企业增值税即征即退资料清单</w:t>
      </w:r>
    </w:p>
    <w:tbl>
      <w:tblPr>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478"/>
        <w:gridCol w:w="3005"/>
        <w:gridCol w:w="888"/>
        <w:gridCol w:w="478"/>
        <w:gridCol w:w="478"/>
        <w:gridCol w:w="478"/>
        <w:gridCol w:w="478"/>
        <w:gridCol w:w="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序号</w:t>
            </w:r>
          </w:p>
        </w:tc>
        <w:tc>
          <w:tcPr>
            <w:tcW w:w="22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资料名称</w:t>
            </w:r>
          </w:p>
        </w:tc>
        <w:tc>
          <w:tcPr>
            <w:tcW w:w="6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必报</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条件报送</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查验</w:t>
            </w:r>
          </w:p>
        </w:tc>
        <w:tc>
          <w:tcPr>
            <w:tcW w:w="35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容缺报送</w:t>
            </w:r>
          </w:p>
        </w:tc>
        <w:tc>
          <w:tcPr>
            <w:tcW w:w="400" w:type="pct"/>
            <w:tcBorders>
              <w:top w:val="single" w:color="000000" w:sz="4" w:space="0"/>
              <w:left w:val="single" w:color="000000" w:sz="4" w:space="0"/>
              <w:bottom w:val="single" w:color="000000" w:sz="4" w:space="0"/>
              <w:right w:val="single" w:color="000000" w:sz="4" w:space="0"/>
            </w:tcBorders>
            <w:shd w:val="clear" w:color="auto" w:fill="D7D7D7"/>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Style w:val="5"/>
                <w:rFonts w:hint="eastAsia" w:ascii="宋体" w:hAnsi="宋体" w:eastAsia="宋体" w:cs="宋体"/>
                <w:b/>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1</w:t>
            </w:r>
          </w:p>
        </w:tc>
        <w:tc>
          <w:tcPr>
            <w:tcW w:w="22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pPr>
            <w:r>
              <w:rPr>
                <w:rFonts w:hint="eastAsia" w:ascii="宋体" w:hAnsi="宋体" w:eastAsia="宋体" w:cs="宋体"/>
                <w:color w:val="000000"/>
                <w:sz w:val="24"/>
                <w:szCs w:val="24"/>
              </w:rPr>
              <w:t>软件产业主管部门颁发的《软件产品登记证书》或著作权行政管理部门颁发的《计算机软件著作权登记证书》</w:t>
            </w:r>
          </w:p>
        </w:tc>
        <w:tc>
          <w:tcPr>
            <w:tcW w:w="6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r>
              <w:rPr>
                <w:color w:val="000000"/>
              </w:rPr>
              <w:t>√</w:t>
            </w: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35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c>
          <w:tcPr>
            <w:tcW w:w="400" w:type="pct"/>
            <w:tcBorders>
              <w:top w:val="single" w:color="000000" w:sz="4" w:space="0"/>
              <w:left w:val="single" w:color="000000" w:sz="4" w:space="0"/>
              <w:bottom w:val="single" w:color="000000" w:sz="4" w:space="0"/>
              <w:right w:val="single" w:color="000000" w:sz="4" w:space="0"/>
            </w:tcBorders>
            <w:shd w:val="clear"/>
            <w:tcMar>
              <w:top w:w="0" w:type="dxa"/>
              <w:left w:w="115" w:type="dxa"/>
              <w:bottom w:w="0" w:type="dxa"/>
              <w:right w:w="115" w:type="dxa"/>
            </w:tcMar>
            <w:vAlign w:val="center"/>
          </w:tcPr>
          <w:p>
            <w:pPr>
              <w:pStyle w:val="2"/>
              <w:keepNext w:val="0"/>
              <w:keepLines w:val="0"/>
              <w:widowControl/>
              <w:suppressLineNumbers w:val="0"/>
              <w:spacing w:before="0" w:beforeAutospacing="0" w:after="210" w:afterAutospacing="0"/>
              <w:ind w:left="0" w:right="0"/>
              <w:jc w:val="center"/>
            </w:pPr>
          </w:p>
        </w:tc>
      </w:tr>
    </w:tbl>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七、注意事项</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1.纳税人对报送材料的真实性和合法性承担责任。</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2.享受减税、免税优惠的纳税人，减税、免税期满，应当自期满次日起恢复纳税；不再符合减税、免税条件的，应当依法履行纳税义务；未依法纳税的，税务机关应当予以追缴。</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纳税人享受安置残疾人就业增值税即征即退；新型墙体材料增值税即征即退；飞机维修劳务增值税即征即退；光伏发电增值税即征即退；铂金增值税即征即退；黄金期货交易增值税即征即退；风力发电增值税即征即退；软件产品增值税即征即退；有形动产融资租赁服务增值税即征即退；资源综合利用产品及劳务增值税即征即退；管道运输服务增值税即征即退；动漫企业增值税即征即退等增值税即征即退政策时，需要进行税收减免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八、常见问题</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1.符合报告类税收减免，应在什么时候办理备案？</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答：符合报告类税收减免的纳税人，如需享受相应税收减免，应在首次享受减免税的申报阶段或在申报征期后的其他规定期限内提交相关资料向主管税务机关申请办理税收减免备案。</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2.享受增值税即征即退政策，需要什么时候办理税收减免报告？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答：纳税人适用增值税即征即退政策的，应当在首次申请增值税退税时，按规定向主管税务机关提供退税申请材料和相关政策规定的证明材料；纳税人后续申请增值税退税时，相关证明材料未发生变化的，无需重复提供，仅需提供退税申请材料并在退税申请中说明有关情况；纳税人享受增值税即征即退条件发生变化的，应当在发生变化后首次纳税申报时向主管税务机关书面报告。</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3.纳税人如需修改税收减免报告应如何操作？</w:t>
      </w:r>
    </w:p>
    <w:p>
      <w:pPr>
        <w:pStyle w:val="2"/>
        <w:keepNext w:val="0"/>
        <w:keepLines w:val="0"/>
        <w:widowControl/>
        <w:suppressLineNumbers w:val="0"/>
        <w:spacing w:before="0" w:beforeAutospacing="0" w:after="0" w:afterAutospacing="0" w:line="288" w:lineRule="atLeast"/>
        <w:ind w:left="0" w:right="0" w:firstLine="475"/>
        <w:jc w:val="left"/>
      </w:pPr>
      <w:r>
        <w:rPr>
          <w:rFonts w:hint="eastAsia" w:ascii="宋体" w:hAnsi="宋体" w:eastAsia="宋体" w:cs="宋体"/>
          <w:i w:val="0"/>
          <w:caps w:val="0"/>
          <w:color w:val="000000"/>
          <w:spacing w:val="0"/>
          <w:sz w:val="24"/>
          <w:szCs w:val="24"/>
          <w:shd w:val="clear" w:fill="FFFFFF"/>
        </w:rPr>
        <w:t>答：目前只能线下办理，作废原减免报告后，重新报送。</w:t>
      </w:r>
    </w:p>
    <w:p>
      <w:pPr>
        <w:rPr>
          <w:rFonts w:hint="eastAsia"/>
        </w:rPr>
      </w:pPr>
      <w:bookmarkStart w:id="6" w:name="_GoBack"/>
      <w:bookmarkEnd w:id="6"/>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ingFang SC-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A311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2023-12-13T04:44:06Z</dcterms:created>
  <dc:creator>Administrator</dc:creator>
  <cp:lastModifiedBy>于春晖</cp:lastModifiedBy>
  <dcterms:modified xsi:type="dcterms:W3CDTF">2023-12-13T04:44:25Z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