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F17C8A">
      <w:pPr>
        <w:topLinePunct/>
        <w:autoSpaceDE w:val="0"/>
        <w:autoSpaceDN w:val="0"/>
        <w:jc w:val="center"/>
        <w:rPr>
          <w:rFonts w:ascii="黑体" w:eastAsia="黑体"/>
          <w:b/>
          <w:color w:val="auto"/>
          <w:sz w:val="52"/>
          <w:highlight w:val="none"/>
        </w:rPr>
      </w:pPr>
    </w:p>
    <w:p w14:paraId="2A5BDF97">
      <w:pPr>
        <w:topLinePunct/>
        <w:autoSpaceDE w:val="0"/>
        <w:autoSpaceDN w:val="0"/>
        <w:jc w:val="center"/>
        <w:rPr>
          <w:rFonts w:hAnsi="宋体"/>
          <w:b/>
          <w:color w:val="auto"/>
          <w:sz w:val="96"/>
          <w:szCs w:val="96"/>
          <w:highlight w:val="none"/>
        </w:rPr>
      </w:pPr>
      <w:r>
        <w:rPr>
          <w:rFonts w:hint="eastAsia" w:hAnsi="宋体"/>
          <w:b/>
          <w:color w:val="000000"/>
          <w:sz w:val="96"/>
          <w:szCs w:val="96"/>
          <w:highlight w:val="white"/>
        </w:rPr>
        <w:t>招 标 文 件</w:t>
      </w:r>
    </w:p>
    <w:p w14:paraId="192B28C2">
      <w:pPr>
        <w:topLinePunct/>
        <w:autoSpaceDE w:val="0"/>
        <w:autoSpaceDN w:val="0"/>
        <w:spacing w:line="60" w:lineRule="exact"/>
        <w:jc w:val="center"/>
        <w:rPr>
          <w:rFonts w:hAnsi="宋体"/>
          <w:color w:val="auto"/>
          <w:sz w:val="96"/>
          <w:szCs w:val="96"/>
          <w:highlight w:val="none"/>
        </w:rPr>
      </w:pPr>
    </w:p>
    <w:p w14:paraId="0DD5E4FB">
      <w:pPr>
        <w:topLinePunct/>
        <w:autoSpaceDE w:val="0"/>
        <w:autoSpaceDN w:val="0"/>
        <w:snapToGrid w:val="0"/>
        <w:jc w:val="center"/>
        <w:rPr>
          <w:rFonts w:ascii="宋体" w:hAnsi="宋体"/>
          <w:color w:val="auto"/>
          <w:sz w:val="96"/>
          <w:szCs w:val="96"/>
          <w:highlight w:val="none"/>
        </w:rPr>
      </w:pPr>
      <w:r>
        <w:rPr>
          <w:rFonts w:hint="eastAsia" w:hAnsi="宋体"/>
          <w:b/>
          <w:color w:val="000000"/>
          <w:sz w:val="56"/>
          <w:szCs w:val="56"/>
          <w:highlight w:val="white"/>
        </w:rPr>
        <w:t>（商务部分）</w:t>
      </w:r>
    </w:p>
    <w:p w14:paraId="135EF7D6">
      <w:pPr>
        <w:topLinePunct/>
        <w:autoSpaceDE w:val="0"/>
        <w:autoSpaceDN w:val="0"/>
        <w:snapToGrid w:val="0"/>
        <w:rPr>
          <w:rFonts w:ascii="宋体" w:hAnsi="宋体"/>
          <w:color w:val="auto"/>
          <w:sz w:val="96"/>
          <w:szCs w:val="96"/>
          <w:highlight w:val="none"/>
        </w:rPr>
      </w:pPr>
    </w:p>
    <w:p w14:paraId="40258D87">
      <w:pPr>
        <w:topLinePunct/>
        <w:autoSpaceDE w:val="0"/>
        <w:autoSpaceDN w:val="0"/>
        <w:snapToGrid w:val="0"/>
        <w:spacing w:line="360" w:lineRule="auto"/>
        <w:ind w:firstLine="281" w:firstLineChars="100"/>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项目名称：国家税务总局长春市南关区税务局干部职工体检服务项目(二包)第三次采购</w:t>
      </w:r>
    </w:p>
    <w:p w14:paraId="40AAD881">
      <w:pPr>
        <w:topLinePunct/>
        <w:autoSpaceDE w:val="0"/>
        <w:autoSpaceDN w:val="0"/>
        <w:snapToGrid w:val="0"/>
        <w:spacing w:line="360" w:lineRule="auto"/>
        <w:ind w:firstLine="281" w:firstLineChars="100"/>
        <w:rPr>
          <w:rFonts w:hint="eastAsia" w:ascii="宋体" w:hAnsi="宋体" w:eastAsia="宋体" w:cs="宋体"/>
          <w:b/>
          <w:bCs/>
          <w:sz w:val="28"/>
          <w:szCs w:val="36"/>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hint="eastAsia" w:ascii="宋体" w:hAnsi="宋体" w:eastAsia="宋体" w:cs="宋体"/>
          <w:b/>
          <w:bCs/>
          <w:color w:val="000000"/>
          <w:sz w:val="28"/>
          <w:szCs w:val="36"/>
          <w:highlight w:val="white"/>
        </w:rPr>
        <w:t>JL2025-ZXGK-C0110-B00</w:t>
      </w:r>
    </w:p>
    <w:p w14:paraId="7EA91CFF">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14:paraId="58449437">
      <w:pPr>
        <w:topLinePunct/>
        <w:autoSpaceDE w:val="0"/>
        <w:autoSpaceDN w:val="0"/>
        <w:spacing w:line="460" w:lineRule="exact"/>
        <w:rPr>
          <w:rFonts w:ascii="黑体" w:eastAsia="黑体"/>
          <w:b/>
          <w:color w:val="auto"/>
          <w:sz w:val="52"/>
          <w:highlight w:val="none"/>
        </w:rPr>
      </w:pPr>
    </w:p>
    <w:p w14:paraId="227B211A">
      <w:pPr>
        <w:topLinePunct/>
        <w:autoSpaceDE w:val="0"/>
        <w:autoSpaceDN w:val="0"/>
        <w:spacing w:line="460" w:lineRule="exact"/>
        <w:rPr>
          <w:rFonts w:ascii="黑体" w:eastAsia="黑体"/>
          <w:b/>
          <w:color w:val="auto"/>
          <w:sz w:val="36"/>
          <w:szCs w:val="36"/>
          <w:highlight w:val="none"/>
        </w:rPr>
      </w:pPr>
    </w:p>
    <w:p w14:paraId="2F8A8B16">
      <w:pPr>
        <w:topLinePunct/>
        <w:autoSpaceDE w:val="0"/>
        <w:autoSpaceDN w:val="0"/>
        <w:spacing w:line="460" w:lineRule="exact"/>
        <w:rPr>
          <w:rFonts w:ascii="黑体" w:eastAsia="黑体"/>
          <w:b/>
          <w:color w:val="auto"/>
          <w:sz w:val="36"/>
          <w:szCs w:val="36"/>
          <w:highlight w:val="none"/>
        </w:rPr>
      </w:pPr>
    </w:p>
    <w:p w14:paraId="5EEB3AAC">
      <w:pPr>
        <w:topLinePunct/>
        <w:autoSpaceDE w:val="0"/>
        <w:autoSpaceDN w:val="0"/>
        <w:spacing w:line="460" w:lineRule="exact"/>
        <w:jc w:val="center"/>
        <w:rPr>
          <w:rFonts w:hint="eastAsia" w:ascii="黑体" w:eastAsia="黑体"/>
          <w:color w:val="auto"/>
          <w:sz w:val="36"/>
          <w:szCs w:val="36"/>
          <w:highlight w:val="none"/>
        </w:rPr>
      </w:pPr>
    </w:p>
    <w:p w14:paraId="3E2C7A54">
      <w:pPr>
        <w:topLinePunct/>
        <w:autoSpaceDE w:val="0"/>
        <w:autoSpaceDN w:val="0"/>
        <w:spacing w:line="460" w:lineRule="exact"/>
        <w:jc w:val="center"/>
        <w:rPr>
          <w:rFonts w:hint="eastAsia" w:ascii="黑体" w:eastAsia="黑体"/>
          <w:color w:val="auto"/>
          <w:sz w:val="36"/>
          <w:szCs w:val="36"/>
          <w:highlight w:val="none"/>
        </w:rPr>
      </w:pPr>
    </w:p>
    <w:p w14:paraId="5B855C97">
      <w:pPr>
        <w:topLinePunct/>
        <w:autoSpaceDE w:val="0"/>
        <w:autoSpaceDN w:val="0"/>
        <w:spacing w:line="460" w:lineRule="exact"/>
        <w:jc w:val="center"/>
        <w:rPr>
          <w:rFonts w:ascii="黑体" w:eastAsia="黑体"/>
          <w:color w:val="auto"/>
          <w:sz w:val="36"/>
          <w:szCs w:val="36"/>
          <w:highlight w:val="none"/>
        </w:rPr>
      </w:pPr>
      <w:r>
        <w:rPr>
          <w:rFonts w:hint="eastAsia" w:ascii="黑体" w:eastAsia="黑体"/>
          <w:color w:val="000000"/>
          <w:sz w:val="36"/>
          <w:szCs w:val="36"/>
          <w:highlight w:val="white"/>
        </w:rPr>
        <w:t>国家税务总局长春市税务局</w:t>
      </w:r>
    </w:p>
    <w:p w14:paraId="50DB2D5F">
      <w:pPr>
        <w:topLinePunct/>
        <w:autoSpaceDE w:val="0"/>
        <w:autoSpaceDN w:val="0"/>
        <w:spacing w:line="160" w:lineRule="exact"/>
        <w:jc w:val="center"/>
        <w:rPr>
          <w:rFonts w:ascii="黑体" w:eastAsia="黑体"/>
          <w:color w:val="auto"/>
          <w:sz w:val="36"/>
          <w:szCs w:val="36"/>
          <w:highlight w:val="none"/>
        </w:rPr>
      </w:pPr>
    </w:p>
    <w:p w14:paraId="41AFABFF">
      <w:pPr>
        <w:widowControl/>
        <w:topLinePunct/>
        <w:autoSpaceDE w:val="0"/>
        <w:autoSpaceDN w:val="0"/>
        <w:jc w:val="center"/>
        <w:rPr>
          <w:rFonts w:ascii="黑体" w:hAnsi="Courier New" w:eastAsia="黑体" w:cs="Courier New"/>
          <w:color w:val="auto"/>
          <w:sz w:val="36"/>
          <w:szCs w:val="36"/>
          <w:highlight w:val="none"/>
        </w:rPr>
      </w:pPr>
      <w:r>
        <w:rPr>
          <w:rFonts w:hint="eastAsia" w:ascii="黑体" w:hAnsi="Courier New" w:eastAsia="黑体" w:cs="Courier New"/>
          <w:color w:val="000000"/>
          <w:sz w:val="36"/>
          <w:szCs w:val="36"/>
          <w:highlight w:val="white"/>
          <w:lang w:val="en-US" w:eastAsia="zh-CN"/>
        </w:rPr>
        <w:t xml:space="preserve"> </w:t>
      </w:r>
      <w:r>
        <w:rPr>
          <w:rFonts w:hint="eastAsia" w:ascii="黑体" w:hAnsi="Courier New" w:eastAsia="黑体" w:cs="Courier New"/>
          <w:color w:val="000000"/>
          <w:sz w:val="36"/>
          <w:szCs w:val="36"/>
          <w:highlight w:val="white"/>
        </w:rPr>
        <w:t>2025年11月</w:t>
      </w:r>
    </w:p>
    <w:p w14:paraId="0E33BFD2">
      <w:pPr>
        <w:jc w:val="center"/>
        <w:rPr>
          <w:b/>
          <w:color w:val="auto"/>
          <w:sz w:val="44"/>
          <w:szCs w:val="44"/>
          <w:highlight w:val="none"/>
        </w:rPr>
        <w:sectPr>
          <w:footerReference r:id="rId5" w:type="default"/>
          <w:pgSz w:w="11906" w:h="16838"/>
          <w:pgMar w:top="1440" w:right="1800" w:bottom="1440" w:left="1800" w:header="227" w:footer="283" w:gutter="0"/>
          <w:pgNumType w:fmt="decimal" w:start="1"/>
          <w:cols w:space="708" w:num="1"/>
          <w:docGrid w:type="lines" w:linePitch="312" w:charSpace="0"/>
        </w:sectPr>
      </w:pPr>
    </w:p>
    <w:p w14:paraId="69126AFB">
      <w:pPr>
        <w:jc w:val="center"/>
        <w:rPr>
          <w:b/>
          <w:color w:val="auto"/>
          <w:sz w:val="44"/>
          <w:szCs w:val="44"/>
          <w:highlight w:val="none"/>
        </w:rPr>
      </w:pPr>
      <w:r>
        <w:rPr>
          <w:rFonts w:hint="eastAsia"/>
          <w:b/>
          <w:color w:val="000000"/>
          <w:sz w:val="44"/>
          <w:szCs w:val="44"/>
          <w:highlight w:val="white"/>
        </w:rPr>
        <w:t>目　　录</w:t>
      </w:r>
    </w:p>
    <w:p w14:paraId="383828E1">
      <w:pPr>
        <w:rPr>
          <w:color w:val="auto"/>
          <w:highlight w:val="none"/>
        </w:rPr>
      </w:pPr>
    </w:p>
    <w:p w14:paraId="77286CE9">
      <w:pPr>
        <w:rPr>
          <w:b/>
          <w:color w:val="auto"/>
          <w:highlight w:val="none"/>
        </w:rPr>
      </w:pPr>
    </w:p>
    <w:p w14:paraId="29317754">
      <w:pPr>
        <w:pStyle w:val="24"/>
        <w:tabs>
          <w:tab w:val="right" w:leader="dot" w:pos="8800"/>
        </w:tabs>
        <w:rPr>
          <w:rFonts w:asciiTheme="minorHAnsi" w:hAnsiTheme="minorHAnsi"/>
          <w:sz w:val="22"/>
        </w:rPr>
      </w:pPr>
      <w:r>
        <w:rPr>
          <w:b/>
          <w:color w:val="auto"/>
          <w:sz w:val="30"/>
          <w:szCs w:val="30"/>
          <w:highlight w:val="none"/>
        </w:rPr>
        <w:fldChar w:fldCharType="begin"/>
      </w:r>
      <w:r>
        <w:rPr>
          <w:rFonts w:hint="eastAsia"/>
          <w:b/>
          <w:color w:val="000000"/>
          <w:sz w:val="30"/>
          <w:szCs w:val="30"/>
          <w:highlight w:val="white"/>
        </w:rPr>
        <w:instrText xml:space="preserve">TOC \o "1-1" \h \z \u</w:instrText>
      </w:r>
      <w:r>
        <w:rPr>
          <w:b/>
          <w:color w:val="auto"/>
          <w:sz w:val="30"/>
          <w:szCs w:val="30"/>
          <w:highlight w:val="none"/>
        </w:rPr>
        <w:fldChar w:fldCharType="separate"/>
      </w:r>
      <w:r>
        <w:fldChar w:fldCharType="begin"/>
      </w:r>
      <w:r>
        <w:instrText xml:space="preserve"> HYPERLINK \l "_Toc256000000" </w:instrText>
      </w:r>
      <w:r>
        <w:fldChar w:fldCharType="separate"/>
      </w:r>
      <w:r>
        <w:rPr>
          <w:rStyle w:val="35"/>
          <w:rFonts w:hint="eastAsia"/>
          <w:color w:val="000000"/>
          <w:highlight w:val="white"/>
        </w:rPr>
        <w:t>第一章  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r>
        <w:fldChar w:fldCharType="end"/>
      </w:r>
    </w:p>
    <w:p w14:paraId="393D342C">
      <w:pPr>
        <w:pStyle w:val="24"/>
        <w:tabs>
          <w:tab w:val="right" w:leader="dot" w:pos="8800"/>
        </w:tabs>
        <w:rPr>
          <w:rFonts w:asciiTheme="minorHAnsi" w:hAnsiTheme="minorHAnsi"/>
          <w:sz w:val="22"/>
        </w:rPr>
      </w:pPr>
      <w:r>
        <w:fldChar w:fldCharType="begin"/>
      </w:r>
      <w:r>
        <w:instrText xml:space="preserve"> HYPERLINK \l "_Toc256000001" </w:instrText>
      </w:r>
      <w:r>
        <w:fldChar w:fldCharType="separate"/>
      </w:r>
      <w:r>
        <w:rPr>
          <w:rStyle w:val="35"/>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6</w:t>
      </w:r>
      <w:r>
        <w:fldChar w:fldCharType="end"/>
      </w:r>
      <w:r>
        <w:fldChar w:fldCharType="end"/>
      </w:r>
    </w:p>
    <w:p w14:paraId="38066B6F">
      <w:pPr>
        <w:pStyle w:val="24"/>
        <w:tabs>
          <w:tab w:val="right" w:leader="dot" w:pos="8800"/>
        </w:tabs>
        <w:rPr>
          <w:rFonts w:asciiTheme="minorHAnsi" w:hAnsiTheme="minorHAnsi"/>
          <w:sz w:val="22"/>
        </w:rPr>
      </w:pPr>
      <w:r>
        <w:fldChar w:fldCharType="begin"/>
      </w:r>
      <w:r>
        <w:instrText xml:space="preserve"> HYPERLINK \l "_Toc256000002" </w:instrText>
      </w:r>
      <w:r>
        <w:fldChar w:fldCharType="separate"/>
      </w:r>
      <w:r>
        <w:rPr>
          <w:rStyle w:val="35"/>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18</w:t>
      </w:r>
      <w:r>
        <w:fldChar w:fldCharType="end"/>
      </w:r>
      <w:r>
        <w:fldChar w:fldCharType="end"/>
      </w:r>
    </w:p>
    <w:p w14:paraId="217BE9A6">
      <w:pPr>
        <w:pStyle w:val="24"/>
        <w:tabs>
          <w:tab w:val="right" w:leader="dot" w:pos="8800"/>
        </w:tabs>
        <w:rPr>
          <w:rFonts w:asciiTheme="minorHAnsi" w:hAnsiTheme="minorHAnsi"/>
          <w:sz w:val="22"/>
        </w:rPr>
      </w:pPr>
      <w:r>
        <w:fldChar w:fldCharType="begin"/>
      </w:r>
      <w:r>
        <w:instrText xml:space="preserve"> HYPERLINK \l "_Toc256000003" </w:instrText>
      </w:r>
      <w:r>
        <w:fldChar w:fldCharType="separate"/>
      </w:r>
      <w:r>
        <w:rPr>
          <w:rStyle w:val="35"/>
          <w:rFonts w:hint="eastAsia"/>
          <w:color w:val="000000"/>
          <w:highlight w:val="white"/>
        </w:rPr>
        <w:t>第四章  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21</w:t>
      </w:r>
      <w:r>
        <w:fldChar w:fldCharType="end"/>
      </w:r>
      <w:r>
        <w:fldChar w:fldCharType="end"/>
      </w:r>
    </w:p>
    <w:p w14:paraId="1BEC1C83">
      <w:pPr>
        <w:pStyle w:val="24"/>
        <w:tabs>
          <w:tab w:val="right" w:leader="dot" w:pos="8800"/>
        </w:tabs>
        <w:rPr>
          <w:rFonts w:asciiTheme="minorHAnsi" w:hAnsiTheme="minorHAnsi"/>
          <w:sz w:val="22"/>
        </w:rPr>
      </w:pPr>
      <w:r>
        <w:fldChar w:fldCharType="begin"/>
      </w:r>
      <w:r>
        <w:instrText xml:space="preserve"> HYPERLINK \l "_Toc256000004" </w:instrText>
      </w:r>
      <w:r>
        <w:fldChar w:fldCharType="separate"/>
      </w:r>
      <w:r>
        <w:rPr>
          <w:rStyle w:val="35"/>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30</w:t>
      </w:r>
      <w:r>
        <w:fldChar w:fldCharType="end"/>
      </w:r>
      <w:r>
        <w:fldChar w:fldCharType="end"/>
      </w:r>
    </w:p>
    <w:p w14:paraId="41A093E6">
      <w:pPr>
        <w:jc w:val="center"/>
        <w:rPr>
          <w:rFonts w:hAnsi="宋体"/>
          <w:b/>
          <w:color w:val="auto"/>
          <w:sz w:val="32"/>
          <w:szCs w:val="32"/>
          <w:highlight w:val="none"/>
        </w:rPr>
      </w:pPr>
      <w:r>
        <w:rPr>
          <w:rFonts w:hAnsi="宋体"/>
          <w:color w:val="auto"/>
          <w:sz w:val="30"/>
          <w:szCs w:val="30"/>
          <w:highlight w:val="none"/>
        </w:rPr>
        <w:fldChar w:fldCharType="end"/>
      </w:r>
    </w:p>
    <w:p w14:paraId="55A8974A">
      <w:pPr>
        <w:ind w:firstLine="643" w:firstLineChars="200"/>
        <w:jc w:val="center"/>
        <w:rPr>
          <w:rFonts w:hAnsi="宋体"/>
          <w:b/>
          <w:color w:val="auto"/>
          <w:sz w:val="32"/>
          <w:szCs w:val="32"/>
          <w:highlight w:val="none"/>
        </w:rPr>
      </w:pPr>
    </w:p>
    <w:p w14:paraId="1B6D091F">
      <w:pPr>
        <w:ind w:firstLine="643" w:firstLineChars="200"/>
        <w:jc w:val="center"/>
        <w:rPr>
          <w:rFonts w:hAnsi="宋体"/>
          <w:b/>
          <w:color w:val="auto"/>
          <w:sz w:val="32"/>
          <w:szCs w:val="32"/>
          <w:highlight w:val="none"/>
        </w:rPr>
      </w:pPr>
    </w:p>
    <w:p w14:paraId="42FB017C">
      <w:pPr>
        <w:jc w:val="center"/>
        <w:rPr>
          <w:color w:val="auto"/>
          <w:highlight w:val="none"/>
        </w:rPr>
      </w:pPr>
    </w:p>
    <w:p w14:paraId="50143204">
      <w:pPr>
        <w:topLinePunct/>
        <w:autoSpaceDE w:val="0"/>
        <w:autoSpaceDN w:val="0"/>
        <w:rPr>
          <w:rFonts w:ascii="仿宋_GB2312" w:eastAsia="仿宋_GB2312"/>
          <w:b/>
          <w:color w:val="auto"/>
          <w:sz w:val="96"/>
          <w:szCs w:val="96"/>
          <w:highlight w:val="none"/>
        </w:rPr>
      </w:pPr>
    </w:p>
    <w:p w14:paraId="738D1A9C">
      <w:pPr>
        <w:pStyle w:val="3"/>
        <w:jc w:val="center"/>
        <w:rPr>
          <w:rFonts w:hint="eastAsia"/>
          <w:color w:val="auto"/>
          <w:sz w:val="36"/>
          <w:szCs w:val="36"/>
          <w:highlight w:val="none"/>
        </w:rPr>
        <w:sectPr>
          <w:footerReference r:id="rId6"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titlePg/>
          <w:docGrid w:type="lines" w:linePitch="312" w:charSpace="0"/>
        </w:sectPr>
      </w:pPr>
    </w:p>
    <w:p w14:paraId="0387E55F">
      <w:pPr>
        <w:pStyle w:val="3"/>
        <w:jc w:val="center"/>
        <w:rPr>
          <w:color w:val="auto"/>
          <w:sz w:val="36"/>
          <w:szCs w:val="36"/>
          <w:highlight w:val="none"/>
        </w:rPr>
      </w:pPr>
      <w:r>
        <w:rPr>
          <w:rFonts w:hint="eastAsia"/>
          <w:color w:val="000000"/>
          <w:sz w:val="36"/>
          <w:szCs w:val="36"/>
          <w:highlight w:val="white"/>
        </w:rPr>
        <w:t>第一章  招标公告</w:t>
      </w:r>
    </w:p>
    <w:p w14:paraId="7AFF1FC8">
      <w:pPr>
        <w:rPr>
          <w:sz w:val="24"/>
        </w:rPr>
      </w:pPr>
    </w:p>
    <w:p w14:paraId="28732382">
      <w:pPr>
        <w:pBdr>
          <w:top w:val="single" w:color="auto" w:sz="4" w:space="1"/>
          <w:left w:val="single" w:color="auto" w:sz="4" w:space="4"/>
          <w:bottom w:val="single" w:color="auto" w:sz="4" w:space="1"/>
          <w:right w:val="single" w:color="auto" w:sz="4" w:space="4"/>
        </w:pBdr>
        <w:adjustRightInd w:val="0"/>
        <w:snapToGrid w:val="0"/>
        <w:spacing w:after="0" w:line="360" w:lineRule="auto"/>
        <w:jc w:val="center"/>
        <w:rPr>
          <w:rFonts w:hint="eastAsia" w:ascii="宋体" w:hAnsi="宋体" w:cs="宋体"/>
          <w:sz w:val="24"/>
        </w:rPr>
      </w:pPr>
      <w:r>
        <w:rPr>
          <w:rFonts w:hint="eastAsia" w:ascii="宋体" w:hAnsi="宋体" w:cs="宋体"/>
          <w:color w:val="000000"/>
          <w:sz w:val="24"/>
          <w:highlight w:val="white"/>
        </w:rPr>
        <w:t>项目概况</w:t>
      </w:r>
    </w:p>
    <w:p w14:paraId="642602C6">
      <w:pPr>
        <w:pBdr>
          <w:top w:val="single" w:color="auto" w:sz="4" w:space="1"/>
          <w:left w:val="single" w:color="auto" w:sz="4" w:space="4"/>
          <w:bottom w:val="single" w:color="auto" w:sz="4" w:space="1"/>
          <w:right w:val="single" w:color="auto" w:sz="4" w:space="4"/>
        </w:pBdr>
        <w:spacing w:line="360" w:lineRule="auto"/>
        <w:ind w:firstLine="480" w:firstLineChars="200"/>
        <w:rPr>
          <w:sz w:val="24"/>
        </w:rPr>
      </w:pPr>
      <w:r>
        <w:rPr>
          <w:rFonts w:hint="eastAsia" w:ascii="宋体" w:hAnsi="宋体" w:cs="宋体"/>
          <w:color w:val="000000"/>
          <w:sz w:val="24"/>
          <w:highlight w:val="white"/>
        </w:rPr>
        <w:t>国家税务总局长春市南关区税务局干部职工体检服务项目(二包)第三次采购的潜在投标人应通过</w:t>
      </w:r>
      <w:r>
        <w:rPr>
          <w:rFonts w:hint="eastAsia" w:ascii="宋体" w:hAnsi="宋体" w:cs="宋体"/>
          <w:color w:val="000000"/>
          <w:sz w:val="24"/>
          <w:highlight w:val="white"/>
          <w:u w:val="single"/>
        </w:rPr>
        <w:t>在线下载方式</w:t>
      </w:r>
      <w:r>
        <w:rPr>
          <w:rFonts w:hint="eastAsia" w:ascii="宋体" w:hAnsi="宋体" w:cs="宋体"/>
          <w:color w:val="000000"/>
          <w:sz w:val="24"/>
          <w:highlight w:val="white"/>
        </w:rPr>
        <w:t>获取招标文件，并于</w:t>
      </w:r>
      <w:r>
        <w:rPr>
          <w:rFonts w:hint="eastAsia" w:ascii="宋体" w:hAnsi="宋体" w:cs="宋体"/>
          <w:color w:val="000000"/>
          <w:sz w:val="24"/>
          <w:highlight w:val="white"/>
          <w:u w:val="single"/>
        </w:rPr>
        <w:t>2025年12月12日9点05分</w:t>
      </w:r>
      <w:r>
        <w:rPr>
          <w:rFonts w:hint="eastAsia" w:ascii="宋体" w:hAnsi="宋体" w:cs="宋体"/>
          <w:color w:val="000000"/>
          <w:sz w:val="24"/>
          <w:highlight w:val="white"/>
        </w:rPr>
        <w:t>（</w:t>
      </w:r>
      <w:r>
        <w:rPr>
          <w:rFonts w:hint="eastAsia" w:ascii="宋体" w:hAnsi="宋体" w:cs="宋体"/>
          <w:bCs/>
          <w:color w:val="000000"/>
          <w:sz w:val="24"/>
          <w:highlight w:val="white"/>
        </w:rPr>
        <w:t>北京时间）前递交投标文件</w:t>
      </w:r>
      <w:r>
        <w:rPr>
          <w:rFonts w:hint="eastAsia" w:ascii="宋体" w:hAnsi="宋体" w:cs="宋体"/>
          <w:color w:val="000000"/>
          <w:sz w:val="24"/>
          <w:highlight w:val="white"/>
        </w:rPr>
        <w:t>。</w:t>
      </w:r>
    </w:p>
    <w:p w14:paraId="214549E3">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p>
    <w:p w14:paraId="7A3048C7">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一、项目基本情况</w:t>
      </w:r>
    </w:p>
    <w:p w14:paraId="2964E6CA">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项目编号：</w:t>
      </w:r>
      <w:r>
        <w:rPr>
          <w:rFonts w:hint="eastAsia" w:ascii="宋体" w:hAnsi="宋体" w:cs="宋体"/>
          <w:color w:val="000000"/>
          <w:sz w:val="24"/>
          <w:highlight w:val="white"/>
        </w:rPr>
        <w:t>JL2025-ZXGK-C0110-B00</w:t>
      </w:r>
    </w:p>
    <w:p w14:paraId="1EF6ADD3">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项目名称：</w:t>
      </w:r>
      <w:r>
        <w:rPr>
          <w:rFonts w:hint="eastAsia" w:ascii="宋体" w:hAnsi="宋体" w:cs="宋体"/>
          <w:color w:val="000000"/>
          <w:sz w:val="24"/>
          <w:highlight w:val="white"/>
        </w:rPr>
        <w:t>国家税务总局长春市南关区税务局干部职工体检服务项目(二包)第三次采购</w:t>
      </w:r>
    </w:p>
    <w:p w14:paraId="78773457">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预算金额：</w:t>
      </w:r>
      <w:r>
        <w:rPr>
          <w:rFonts w:hint="eastAsia" w:ascii="宋体" w:hAnsi="宋体" w:cs="宋体"/>
          <w:color w:val="000000"/>
          <w:sz w:val="24"/>
          <w:highlight w:val="white"/>
        </w:rPr>
        <w:t>27.60万元</w:t>
      </w:r>
    </w:p>
    <w:p w14:paraId="101FF2C2">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最高限价</w:t>
      </w:r>
      <w:r>
        <w:rPr>
          <w:rFonts w:hint="eastAsia" w:ascii="宋体" w:hAnsi="宋体" w:cs="宋体"/>
          <w:color w:val="000000"/>
          <w:sz w:val="24"/>
          <w:highlight w:val="white"/>
        </w:rPr>
        <w:t>：27.60万元</w:t>
      </w:r>
    </w:p>
    <w:p w14:paraId="34B0A769">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采购需求：</w:t>
      </w:r>
      <w:r>
        <w:rPr>
          <w:rFonts w:hint="eastAsia" w:ascii="宋体" w:hAnsi="宋体" w:cs="宋体"/>
          <w:color w:val="000000"/>
          <w:sz w:val="24"/>
          <w:highlight w:val="white"/>
        </w:rPr>
        <w:t>为国家税务总局长春市南关区税务局提供干部职工健康体检服务，国家税务总局长春市南关区税务局计划参加体检人员为616人，其中，男性303人，女性313人，以实际参加体检人数为准。</w:t>
      </w:r>
    </w:p>
    <w:p w14:paraId="529D0748">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color w:val="000000"/>
          <w:sz w:val="24"/>
          <w:highlight w:val="white"/>
        </w:rPr>
        <w:t>体检项目由国家税务总局长春市南关区税务局确定，体检项目包括：血常规、尿常规、便常规、肝功十六项、甲功八项、肾功三项、血糖、血脂七项、丙肝抗体、C13尿素呼气试验、心电图、头部CT、胸部CT、腹部彩超、甲状腺颈部淋巴结彩超、肝胆胰脾肾输尿管膀胱彩超、乳腺彩超（女）、前列腺彩超（男）、骨密度、动脉硬化检测、肝纤维化检测，实际体检项目中应包含但不限于上述项目。</w:t>
      </w:r>
    </w:p>
    <w:p w14:paraId="36752766">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color w:val="000000"/>
          <w:sz w:val="24"/>
          <w:highlight w:val="white"/>
        </w:rPr>
        <w:t>根据广大干部职工对体检服务和后续治疗服务的需求，需要有相关专家的专业医疗资源进行诊断和后续治疗。本项目分两包进行采购，第一包面向三级及三级以上医院，预计体检人数478人，预算金额为95.6万元，第二包面向三级以下医院和社会专业体检机构，预计体检人数138人，预算金额为27.6万元。</w:t>
      </w:r>
    </w:p>
    <w:p w14:paraId="7B835973">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color w:val="000000"/>
          <w:sz w:val="24"/>
          <w:highlight w:val="white"/>
        </w:rPr>
        <w:t>本项目一采三年，合同一年一签，第二年、第三年合同金额以实际体检人数为准。</w:t>
      </w:r>
    </w:p>
    <w:p w14:paraId="734C2A03">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color w:val="000000"/>
          <w:sz w:val="24"/>
          <w:highlight w:val="white"/>
        </w:rPr>
        <w:t>需求部门确认，需求内容与项目立项、预算评审（如有）内容一致。</w:t>
      </w:r>
    </w:p>
    <w:p w14:paraId="7813440D">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b/>
          <w:bCs/>
          <w:sz w:val="24"/>
        </w:rPr>
      </w:pPr>
      <w:r>
        <w:rPr>
          <w:rFonts w:hint="eastAsia" w:ascii="宋体" w:hAnsi="宋体" w:cs="宋体"/>
          <w:b/>
          <w:bCs/>
          <w:color w:val="000000"/>
          <w:sz w:val="24"/>
          <w:highlight w:val="white"/>
        </w:rPr>
        <w:t>合同履行期限：</w:t>
      </w:r>
      <w:r>
        <w:rPr>
          <w:rFonts w:hint="eastAsia" w:ascii="宋体" w:hAnsi="宋体" w:cs="宋体"/>
          <w:color w:val="000000"/>
          <w:sz w:val="24"/>
          <w:highlight w:val="white"/>
        </w:rPr>
        <w:t>自合同签订之日起至合同全部权利义务履行完毕之日止。</w:t>
      </w:r>
    </w:p>
    <w:p w14:paraId="1626AFEB">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本项目（是/否）接受联合体投标：</w:t>
      </w:r>
      <w:r>
        <w:rPr>
          <w:rFonts w:hint="eastAsia" w:ascii="宋体" w:hAnsi="宋体" w:cs="宋体"/>
          <w:color w:val="000000"/>
          <w:sz w:val="24"/>
          <w:highlight w:val="white"/>
        </w:rPr>
        <w:t>否</w:t>
      </w:r>
    </w:p>
    <w:p w14:paraId="65379453">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二、申请人的资格要求</w:t>
      </w:r>
    </w:p>
    <w:p w14:paraId="204218B5">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1.符合国家有关法律规定，在中国境内（指关境内）注册，满足《中华人民共和国政府采购法》第二十二条规定。</w:t>
      </w:r>
    </w:p>
    <w:p w14:paraId="42B53CE6">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2.落实政府采购政策需满足的资格要求：无</w:t>
      </w:r>
    </w:p>
    <w:p w14:paraId="5A9A75F1">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3.本项目的特定资格要求：具有有效期内的卫生行政部门核准登记取得的《医疗机构执业许可证》和《放射诊疗许可证》。</w:t>
      </w:r>
    </w:p>
    <w:p w14:paraId="5A60BE8E">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三、获取招标文件</w:t>
      </w:r>
    </w:p>
    <w:p w14:paraId="4C7B3AE8">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时间：</w:t>
      </w:r>
      <w:r>
        <w:rPr>
          <w:rFonts w:hint="eastAsia" w:ascii="宋体" w:hAnsi="宋体"/>
          <w:color w:val="000000"/>
          <w:sz w:val="24"/>
          <w:highlight w:val="white"/>
        </w:rPr>
        <w:t>2025年11月18日至2025年11月24日每天8:00至20:00（北京时间，法定节假日除外）。</w:t>
      </w:r>
    </w:p>
    <w:p w14:paraId="2E8FB0A5">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地点：</w:t>
      </w:r>
      <w:r>
        <w:rPr>
          <w:rFonts w:hint="eastAsia" w:ascii="宋体" w:hAnsi="宋体" w:cs="宋体"/>
          <w:color w:val="000000"/>
          <w:sz w:val="24"/>
          <w:highlight w:val="white"/>
        </w:rPr>
        <w:t>国家税务总局集中采购中心网站（https://swcg.chinatax.gov.cn），供应商在国家税务总局集中采购中心网站，点击“供应商登录”完成注册，登录国家税务总局政府采购评审管理系统，报名并免费下载采购文件电子版。没有报名的供应商，不能参加本项目采购活动。</w:t>
      </w:r>
    </w:p>
    <w:p w14:paraId="59788607">
      <w:pPr>
        <w:adjustRightInd w:val="0"/>
        <w:snapToGrid w:val="0"/>
        <w:spacing w:before="62" w:beforeLines="20" w:after="62" w:afterLines="20" w:line="360" w:lineRule="auto"/>
        <w:ind w:firstLine="482" w:firstLineChars="200"/>
        <w:rPr>
          <w:rFonts w:hint="eastAsia" w:ascii="宋体" w:hAnsi="宋体"/>
          <w:bCs/>
          <w:sz w:val="24"/>
        </w:rPr>
      </w:pPr>
      <w:r>
        <w:rPr>
          <w:rFonts w:hint="eastAsia" w:ascii="宋体" w:hAnsi="宋体"/>
          <w:b/>
          <w:bCs/>
          <w:color w:val="000000"/>
          <w:sz w:val="24"/>
          <w:highlight w:val="white"/>
        </w:rPr>
        <w:t>方式：</w:t>
      </w:r>
      <w:r>
        <w:rPr>
          <w:rFonts w:hint="eastAsia" w:ascii="宋体" w:hAnsi="宋体"/>
          <w:bCs/>
          <w:color w:val="000000"/>
          <w:sz w:val="24"/>
          <w:highlight w:val="white"/>
        </w:rPr>
        <w:t>在线下载。</w:t>
      </w:r>
    </w:p>
    <w:p w14:paraId="7FBA9D72">
      <w:pPr>
        <w:adjustRightInd w:val="0"/>
        <w:snapToGrid w:val="0"/>
        <w:spacing w:before="62" w:beforeLines="20" w:after="62" w:afterLines="20" w:line="360" w:lineRule="auto"/>
        <w:ind w:firstLine="482" w:firstLineChars="200"/>
        <w:rPr>
          <w:rFonts w:ascii="宋体" w:hAnsi="宋体" w:eastAsia="Times New Roman"/>
          <w:sz w:val="24"/>
        </w:rPr>
      </w:pPr>
      <w:r>
        <w:rPr>
          <w:rFonts w:hint="eastAsia" w:ascii="宋体" w:hAnsi="宋体"/>
          <w:b/>
          <w:bCs/>
          <w:color w:val="000000"/>
          <w:sz w:val="24"/>
          <w:highlight w:val="white"/>
        </w:rPr>
        <w:t>售价：</w:t>
      </w:r>
      <w:r>
        <w:rPr>
          <w:rFonts w:hint="eastAsia" w:ascii="宋体" w:hAnsi="宋体"/>
          <w:color w:val="000000"/>
          <w:sz w:val="24"/>
          <w:highlight w:val="white"/>
        </w:rPr>
        <w:t>0.00</w:t>
      </w:r>
    </w:p>
    <w:p w14:paraId="353715A0">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四、提交投标文件截止时间、开标时间和地点</w:t>
      </w:r>
    </w:p>
    <w:p w14:paraId="1D4574AB">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时间：</w:t>
      </w:r>
      <w:r>
        <w:rPr>
          <w:rFonts w:hint="eastAsia" w:ascii="宋体" w:hAnsi="宋体" w:cs="宋体"/>
          <w:color w:val="000000"/>
          <w:sz w:val="24"/>
          <w:highlight w:val="white"/>
        </w:rPr>
        <w:t xml:space="preserve"> 2025年12月12日9点05分</w:t>
      </w:r>
      <w:r>
        <w:rPr>
          <w:rFonts w:hint="eastAsia" w:ascii="宋体" w:hAnsi="宋体"/>
          <w:color w:val="000000"/>
          <w:sz w:val="24"/>
          <w:highlight w:val="white"/>
        </w:rPr>
        <w:t>（北京时间）</w:t>
      </w:r>
    </w:p>
    <w:p w14:paraId="0C9979EC">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bCs/>
          <w:sz w:val="24"/>
        </w:rPr>
      </w:pPr>
      <w:r>
        <w:rPr>
          <w:rFonts w:hint="eastAsia" w:ascii="宋体" w:hAnsi="宋体"/>
          <w:b/>
          <w:bCs/>
          <w:color w:val="000000"/>
          <w:sz w:val="24"/>
          <w:highlight w:val="white"/>
        </w:rPr>
        <w:t>地点：</w:t>
      </w:r>
      <w:r>
        <w:rPr>
          <w:rFonts w:ascii="宋体" w:hAnsi="宋体"/>
          <w:bCs/>
          <w:color w:val="000000"/>
          <w:sz w:val="24"/>
          <w:highlight w:val="white"/>
        </w:rPr>
        <w:t>本项目采用国家税务总局政府采购评审管理系统进行网上投标、开标。供应商制作投标文件前须提前办理数字证书和电子签章，办理方式和注意事项详见网站《供应商操作手册》。供应商在国家税务总局集中采购中心网站“下载中心”下载并安装“供应商投标工具”，使用投标工具编制投标文件，并在提交投标文件截止时间前加密上传。除上述方式之外，不接受以纸质文件以及其他任何方式提交的投标文件</w:t>
      </w:r>
    </w:p>
    <w:p w14:paraId="76E7163E">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五、公告期限</w:t>
      </w:r>
    </w:p>
    <w:p w14:paraId="1A4D3B9E">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自本公告发布之日起5个工作日</w:t>
      </w:r>
    </w:p>
    <w:p w14:paraId="1FF4CFE0">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六、其他补充事宜</w:t>
      </w:r>
    </w:p>
    <w:p w14:paraId="0B1933DF">
      <w:pPr>
        <w:spacing w:before="48" w:after="48" w:line="360" w:lineRule="auto"/>
        <w:ind w:firstLine="480"/>
        <w:rPr>
          <w:rFonts w:ascii="宋体" w:hAnsi="宋体" w:cs="宋体"/>
        </w:rPr>
      </w:pPr>
      <w:r>
        <w:rPr>
          <w:rFonts w:ascii="宋体" w:hAnsi="宋体" w:eastAsia="宋体" w:cs="宋体"/>
          <w:color w:val="000000"/>
          <w:sz w:val="24"/>
          <w:highlight w:val="white"/>
        </w:rPr>
        <w:t>1.本项目采用国家税务总局政府采购评审管理系统进行招投标，请在投标前详细阅读国家税务总局集中采购中心网站（https://swcg.chinatax.gov.cn）《供应商操作手册》。</w:t>
      </w:r>
    </w:p>
    <w:p w14:paraId="57D496DE">
      <w:pPr>
        <w:spacing w:before="48" w:after="48" w:line="360" w:lineRule="auto"/>
        <w:ind w:firstLine="480"/>
        <w:rPr>
          <w:rFonts w:ascii="宋体" w:hAnsi="宋体" w:cs="宋体"/>
        </w:rPr>
      </w:pPr>
      <w:r>
        <w:rPr>
          <w:rFonts w:ascii="宋体" w:hAnsi="宋体" w:eastAsia="宋体" w:cs="宋体"/>
          <w:color w:val="000000"/>
          <w:sz w:val="24"/>
          <w:highlight w:val="white"/>
        </w:rPr>
        <w:t>2.供应商在国家税务总局集中采购中心网站，点击“供应商登录”，完成注册，登录国家税务总局政府采购评审管理系统，报名并免费下载采购文件电子版。没有报名的供应商，不能参加本项目采购活动。</w:t>
      </w:r>
    </w:p>
    <w:p w14:paraId="73E53684">
      <w:pPr>
        <w:spacing w:before="48" w:after="48" w:line="360" w:lineRule="auto"/>
        <w:ind w:firstLine="480"/>
        <w:rPr>
          <w:rFonts w:ascii="宋体" w:hAnsi="宋体" w:cs="宋体"/>
        </w:rPr>
      </w:pPr>
      <w:r>
        <w:rPr>
          <w:rFonts w:ascii="宋体" w:hAnsi="宋体" w:eastAsia="宋体" w:cs="宋体"/>
          <w:color w:val="000000"/>
          <w:sz w:val="24"/>
          <w:highlight w:val="white"/>
        </w:rPr>
        <w:t>3.供应商制作投标文件前须提前办理数字证书和电子签章，办理方式和注意事项详见网站《供应商操作手册》。</w:t>
      </w:r>
    </w:p>
    <w:p w14:paraId="6C3CEA3B">
      <w:pPr>
        <w:spacing w:before="48" w:after="48" w:line="360" w:lineRule="auto"/>
        <w:ind w:firstLine="480"/>
        <w:rPr>
          <w:rFonts w:ascii="宋体" w:hAnsi="宋体" w:cs="宋体"/>
        </w:rPr>
      </w:pPr>
      <w:r>
        <w:rPr>
          <w:rFonts w:ascii="宋体" w:hAnsi="宋体" w:eastAsia="宋体" w:cs="宋体"/>
          <w:color w:val="000000"/>
          <w:sz w:val="24"/>
          <w:highlight w:val="white"/>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14:paraId="4901D863">
      <w:pPr>
        <w:spacing w:before="48" w:after="48" w:line="360" w:lineRule="auto"/>
        <w:ind w:firstLine="480"/>
        <w:rPr>
          <w:rFonts w:ascii="宋体" w:hAnsi="宋体" w:cs="宋体"/>
        </w:rPr>
      </w:pPr>
      <w:r>
        <w:rPr>
          <w:rFonts w:ascii="宋体" w:hAnsi="宋体" w:eastAsia="宋体" w:cs="宋体"/>
          <w:color w:val="000000"/>
          <w:sz w:val="24"/>
          <w:highlight w:val="white"/>
        </w:rPr>
        <w:t>5.本项目通过国家税务总局政府采购评审管理系统进行开标，投标人应在开标前登录系统点击“开标大厅”，参加开标过程并确认开标结果，投标人未参加开标的视同认同开标结果。</w:t>
      </w:r>
    </w:p>
    <w:p w14:paraId="0CF7118C">
      <w:pPr>
        <w:spacing w:before="48" w:after="48" w:line="360" w:lineRule="auto"/>
        <w:ind w:firstLine="480"/>
        <w:rPr>
          <w:rFonts w:ascii="宋体" w:hAnsi="宋体" w:cs="宋体"/>
        </w:rPr>
      </w:pPr>
      <w:r>
        <w:rPr>
          <w:rFonts w:ascii="宋体" w:hAnsi="宋体" w:eastAsia="宋体" w:cs="宋体"/>
          <w:color w:val="000000"/>
          <w:sz w:val="24"/>
          <w:highlight w:val="white"/>
        </w:rPr>
        <w:t>6.供应商在投标过程中涉及系统操作的技术问题，可致电系统服务热线：400-6168-636转1。</w:t>
      </w:r>
    </w:p>
    <w:p w14:paraId="16A2EF66">
      <w:pPr>
        <w:spacing w:before="48" w:after="48" w:line="360" w:lineRule="auto"/>
        <w:ind w:firstLine="480"/>
        <w:rPr>
          <w:rFonts w:ascii="宋体" w:hAnsi="宋体" w:cs="宋体"/>
        </w:rPr>
      </w:pPr>
      <w:r>
        <w:rPr>
          <w:rFonts w:ascii="宋体" w:hAnsi="宋体" w:eastAsia="宋体" w:cs="宋体"/>
          <w:color w:val="000000"/>
          <w:sz w:val="24"/>
          <w:highlight w:val="white"/>
        </w:rPr>
        <w:t>7、本项目需落实的节约能源、保护环境、促进中小企业发展、促进残疾人就业、支持监狱企业发展等相关政府采购政策：详见招标文件。</w:t>
      </w:r>
    </w:p>
    <w:p w14:paraId="2D816820">
      <w:pPr>
        <w:spacing w:before="48" w:after="48" w:line="360" w:lineRule="auto"/>
        <w:ind w:firstLine="480"/>
        <w:rPr>
          <w:rFonts w:ascii="宋体" w:hAnsi="宋体" w:cs="宋体"/>
        </w:rPr>
      </w:pPr>
    </w:p>
    <w:p w14:paraId="552B5AC8">
      <w:pPr>
        <w:pStyle w:val="78"/>
        <w:adjustRightInd w:val="0"/>
        <w:snapToGrid w:val="0"/>
        <w:spacing w:before="62" w:beforeLines="20" w:after="62" w:afterLines="20" w:line="360" w:lineRule="auto"/>
        <w:ind w:firstLine="480" w:firstLineChars="200"/>
        <w:rPr>
          <w:rFonts w:hint="eastAsia" w:ascii="黑体" w:hAnsi="黑体" w:eastAsia="黑体" w:cs="黑体"/>
          <w:szCs w:val="24"/>
        </w:rPr>
      </w:pPr>
      <w:r>
        <w:rPr>
          <w:rFonts w:hint="eastAsia" w:ascii="黑体" w:hAnsi="黑体" w:eastAsia="黑体" w:cs="黑体"/>
          <w:color w:val="000000"/>
          <w:szCs w:val="24"/>
          <w:highlight w:val="white"/>
        </w:rPr>
        <w:t>七、对本次招标提出询问，请按以下方式联系</w:t>
      </w:r>
    </w:p>
    <w:p w14:paraId="7B46804C">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1.采购人信息</w:t>
      </w:r>
    </w:p>
    <w:p w14:paraId="5AB4D50D">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名称：国家税务总局长春市南关区税务局</w:t>
      </w:r>
    </w:p>
    <w:p w14:paraId="665E2DDC">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地址：长春市南关区南湖大路1377号</w:t>
      </w:r>
    </w:p>
    <w:p w14:paraId="46123E78">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联系方式：0431-80503600</w:t>
      </w:r>
    </w:p>
    <w:p w14:paraId="44F34A80">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2.项目联系方式</w:t>
      </w:r>
    </w:p>
    <w:p w14:paraId="447DE039">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olor w:val="000000"/>
          <w:sz w:val="24"/>
          <w:highlight w:val="white"/>
        </w:rPr>
        <w:t>项目联系人：</w:t>
      </w:r>
      <w:r>
        <w:rPr>
          <w:rFonts w:hint="eastAsia" w:ascii="宋体" w:hAnsi="宋体" w:eastAsia="宋体" w:cs="宋体"/>
          <w:color w:val="000000"/>
          <w:sz w:val="24"/>
          <w:szCs w:val="24"/>
          <w:highlight w:val="white"/>
        </w:rPr>
        <w:t>马女士</w:t>
      </w:r>
    </w:p>
    <w:p w14:paraId="1F2866FD">
      <w:pPr>
        <w:spacing w:before="48" w:after="48" w:line="360" w:lineRule="auto"/>
        <w:ind w:firstLine="480"/>
        <w:rPr>
          <w:rFonts w:ascii="宋体" w:hAnsi="宋体" w:cs="宋体"/>
        </w:rPr>
      </w:pPr>
      <w:r>
        <w:rPr>
          <w:rFonts w:hint="eastAsia" w:ascii="宋体" w:hAnsi="宋体"/>
          <w:color w:val="000000"/>
          <w:sz w:val="24"/>
          <w:highlight w:val="white"/>
        </w:rPr>
        <w:t>电话：</w:t>
      </w:r>
      <w:r>
        <w:rPr>
          <w:rFonts w:ascii="宋体" w:hAnsi="宋体" w:eastAsia="宋体" w:cs="宋体"/>
          <w:color w:val="000000"/>
          <w:sz w:val="24"/>
          <w:highlight w:val="white"/>
        </w:rPr>
        <w:t>0431-80505768/80502055</w:t>
      </w:r>
    </w:p>
    <w:p w14:paraId="463EDC53">
      <w:pPr>
        <w:spacing w:before="48" w:after="48" w:line="360" w:lineRule="auto"/>
        <w:ind w:firstLine="480"/>
        <w:rPr>
          <w:rFonts w:ascii="宋体" w:hAnsi="宋体" w:cs="宋体"/>
        </w:rPr>
      </w:pPr>
    </w:p>
    <w:p w14:paraId="697D04D3">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outlineLvl w:val="9"/>
        <w:rPr>
          <w:rFonts w:hint="eastAsia"/>
          <w:color w:val="auto"/>
          <w:sz w:val="24"/>
          <w:szCs w:val="24"/>
          <w:highlight w:val="none"/>
          <w:lang w:val="en-US" w:eastAsia="zh-CN"/>
        </w:rPr>
      </w:pPr>
    </w:p>
    <w:p w14:paraId="3314635B">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hint="eastAsia" w:ascii="Times New Roman" w:hAnsi="Times New Roman" w:eastAsia="宋体" w:cs="Times New Roman"/>
          <w:b/>
          <w:bCs/>
          <w:kern w:val="44"/>
          <w:sz w:val="36"/>
          <w:szCs w:val="36"/>
          <w:highlight w:val="none"/>
          <w:lang w:val="en-US" w:eastAsia="zh-CN" w:bidi="ar-SA"/>
        </w:rPr>
      </w:pPr>
      <w:r>
        <w:rPr>
          <w:b/>
          <w:bCs/>
          <w:color w:val="000000"/>
          <w:kern w:val="44"/>
          <w:sz w:val="36"/>
          <w:szCs w:val="36"/>
          <w:highlight w:val="white"/>
        </w:rPr>
        <w:br w:type="page"/>
      </w:r>
      <w:r>
        <w:rPr>
          <w:rStyle w:val="37"/>
          <w:rFonts w:hint="eastAsia"/>
          <w:color w:val="000000"/>
          <w:highlight w:val="white"/>
          <w:lang w:val="en-US" w:eastAsia="zh-CN"/>
        </w:rPr>
        <w:t>第二章　投标人须知</w:t>
      </w:r>
    </w:p>
    <w:p w14:paraId="4DADE12F">
      <w:pPr>
        <w:spacing w:after="160" w:line="520" w:lineRule="exact"/>
        <w:jc w:val="center"/>
        <w:rPr>
          <w:rFonts w:ascii="黑体" w:hAnsi="黑体" w:eastAsia="黑体" w:cs="黑体"/>
          <w:sz w:val="28"/>
        </w:rPr>
      </w:pPr>
      <w:r>
        <w:rPr>
          <w:rFonts w:ascii="黑体" w:hAnsi="黑体" w:eastAsia="黑体" w:cs="黑体"/>
          <w:color w:val="000000"/>
          <w:sz w:val="28"/>
          <w:highlight w:val="white"/>
        </w:rPr>
        <w:t>投标人须知前附表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763"/>
        <w:gridCol w:w="612"/>
        <w:gridCol w:w="6183"/>
      </w:tblGrid>
      <w:tr w14:paraId="3E01D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776572BE">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序 号</w:t>
            </w:r>
          </w:p>
        </w:tc>
        <w:tc>
          <w:tcPr>
            <w:tcW w:w="1763" w:type="dxa"/>
            <w:vAlign w:val="center"/>
          </w:tcPr>
          <w:p w14:paraId="76BFBA29">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类  别</w:t>
            </w:r>
          </w:p>
        </w:tc>
        <w:tc>
          <w:tcPr>
            <w:tcW w:w="6795" w:type="dxa"/>
            <w:gridSpan w:val="2"/>
            <w:vAlign w:val="center"/>
          </w:tcPr>
          <w:p w14:paraId="4B510078">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内     容</w:t>
            </w:r>
          </w:p>
        </w:tc>
      </w:tr>
      <w:tr w14:paraId="6106A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14:paraId="5CFD5F62">
            <w:pPr>
              <w:spacing w:before="48" w:after="48" w:line="240" w:lineRule="auto"/>
              <w:jc w:val="center"/>
              <w:rPr>
                <w:rFonts w:ascii="宋体" w:hAnsi="宋体" w:eastAsia="宋体" w:cs="宋体"/>
                <w:b w:val="0"/>
                <w:sz w:val="21"/>
              </w:rPr>
            </w:pPr>
            <w:r>
              <w:rPr>
                <w:rFonts w:ascii="宋体" w:hAnsi="宋体" w:eastAsia="宋体" w:cs="宋体"/>
                <w:b w:val="0"/>
                <w:color w:val="000000"/>
                <w:sz w:val="21"/>
                <w:highlight w:val="white"/>
              </w:rPr>
              <w:t>1</w:t>
            </w:r>
          </w:p>
        </w:tc>
        <w:tc>
          <w:tcPr>
            <w:tcW w:w="1763" w:type="dxa"/>
            <w:vMerge w:val="restart"/>
            <w:vAlign w:val="center"/>
          </w:tcPr>
          <w:p w14:paraId="184DCDD1">
            <w:pPr>
              <w:spacing w:before="48" w:after="48" w:line="240" w:lineRule="auto"/>
              <w:jc w:val="center"/>
              <w:rPr>
                <w:rFonts w:ascii="宋体" w:hAnsi="宋体" w:eastAsia="宋体" w:cs="宋体"/>
                <w:b w:val="0"/>
                <w:sz w:val="21"/>
              </w:rPr>
            </w:pPr>
            <w:r>
              <w:rPr>
                <w:rFonts w:ascii="宋体" w:hAnsi="宋体" w:eastAsia="宋体" w:cs="宋体"/>
                <w:b w:val="0"/>
                <w:color w:val="000000"/>
                <w:sz w:val="21"/>
                <w:highlight w:val="white"/>
              </w:rPr>
              <w:t>项目名称、编号及预算</w:t>
            </w:r>
          </w:p>
        </w:tc>
        <w:tc>
          <w:tcPr>
            <w:tcW w:w="6435" w:type="dxa"/>
            <w:gridSpan w:val="2"/>
            <w:vAlign w:val="center"/>
          </w:tcPr>
          <w:p w14:paraId="150E26A3">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项目名称：国家税务总局长春市南关区税务局干部职工体检服务项目(二包)第三次采购</w:t>
            </w:r>
          </w:p>
        </w:tc>
      </w:tr>
      <w:tr w14:paraId="7E18B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7DA7900C">
            <w:pPr>
              <w:spacing w:before="48" w:after="48" w:line="240" w:lineRule="auto"/>
              <w:jc w:val="center"/>
              <w:rPr>
                <w:rFonts w:ascii="宋体" w:hAnsi="宋体" w:eastAsia="宋体" w:cs="宋体"/>
                <w:b w:val="0"/>
                <w:sz w:val="21"/>
              </w:rPr>
            </w:pPr>
          </w:p>
        </w:tc>
        <w:tc>
          <w:tcPr>
            <w:tcW w:w="1763" w:type="dxa"/>
            <w:vMerge w:val="continue"/>
            <w:vAlign w:val="center"/>
          </w:tcPr>
          <w:p w14:paraId="738448F0">
            <w:pPr>
              <w:spacing w:before="48" w:after="48" w:line="240" w:lineRule="auto"/>
              <w:jc w:val="center"/>
              <w:rPr>
                <w:rFonts w:ascii="宋体" w:hAnsi="宋体" w:eastAsia="宋体" w:cs="宋体"/>
                <w:b w:val="0"/>
                <w:sz w:val="21"/>
              </w:rPr>
            </w:pPr>
          </w:p>
        </w:tc>
        <w:tc>
          <w:tcPr>
            <w:tcW w:w="6435" w:type="dxa"/>
            <w:gridSpan w:val="2"/>
            <w:vAlign w:val="center"/>
          </w:tcPr>
          <w:p w14:paraId="1FC119CC">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项目编号：JL2025-ZXGK-C0110-B00</w:t>
            </w:r>
          </w:p>
        </w:tc>
      </w:tr>
      <w:tr w14:paraId="76070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085CA7BD">
            <w:pPr>
              <w:spacing w:before="48" w:after="48" w:line="240" w:lineRule="auto"/>
              <w:jc w:val="center"/>
              <w:rPr>
                <w:rFonts w:ascii="宋体" w:hAnsi="宋体" w:eastAsia="宋体" w:cs="宋体"/>
                <w:b w:val="0"/>
                <w:sz w:val="21"/>
              </w:rPr>
            </w:pPr>
          </w:p>
        </w:tc>
        <w:tc>
          <w:tcPr>
            <w:tcW w:w="1763" w:type="dxa"/>
            <w:vMerge w:val="continue"/>
            <w:vAlign w:val="center"/>
          </w:tcPr>
          <w:p w14:paraId="65D9BA2A">
            <w:pPr>
              <w:spacing w:before="48" w:after="48" w:line="240" w:lineRule="auto"/>
              <w:jc w:val="center"/>
              <w:rPr>
                <w:rFonts w:ascii="宋体" w:hAnsi="宋体" w:eastAsia="宋体" w:cs="宋体"/>
                <w:b w:val="0"/>
                <w:sz w:val="21"/>
              </w:rPr>
            </w:pPr>
          </w:p>
        </w:tc>
        <w:tc>
          <w:tcPr>
            <w:tcW w:w="6435" w:type="dxa"/>
            <w:gridSpan w:val="2"/>
            <w:vAlign w:val="center"/>
          </w:tcPr>
          <w:p w14:paraId="35D719CF">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项目预算：27.60万元</w:t>
            </w:r>
          </w:p>
        </w:tc>
      </w:tr>
      <w:tr w14:paraId="1D436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7E99AB27">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2</w:t>
            </w:r>
          </w:p>
        </w:tc>
        <w:tc>
          <w:tcPr>
            <w:tcW w:w="1763" w:type="dxa"/>
            <w:vAlign w:val="center"/>
          </w:tcPr>
          <w:p w14:paraId="2BF197FB">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采购需求</w:t>
            </w:r>
          </w:p>
        </w:tc>
        <w:tc>
          <w:tcPr>
            <w:tcW w:w="6435" w:type="dxa"/>
            <w:gridSpan w:val="2"/>
            <w:vAlign w:val="center"/>
          </w:tcPr>
          <w:p w14:paraId="229D8A0A">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为国家税务总局长春市南关区税务局提供干部职工健康体检服务，国家税务总局长春市南关区税务局计划参加体检人员为616人，其中，男性303人，女性313人，以实际参加体检人数为准。</w:t>
            </w:r>
          </w:p>
          <w:p w14:paraId="3FF25ADE">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体检项目由国家税务总局长春市南关区税务局确定，体检项目包括：血常规、尿常规、便常规、肝功十六项、甲功八项、肾功三项、血糖、血脂七项、丙肝抗体、C13尿素呼气试验、心电图、头部CT、胸部CT、腹部彩超、甲状腺颈部淋巴结彩超、肝胆胰脾肾输尿管膀胱彩超、乳腺彩超（女）、前列腺彩超（男）、骨密度、动脉硬化检测、肝纤维化检测，实际体检项目中应包含但不限于上述项目。</w:t>
            </w:r>
          </w:p>
          <w:p w14:paraId="5DA3A834">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根据广大干部职工对体检服务和后续治疗服务的需求，需要有相关专家的专业医疗资源进行诊断和后续治疗。本项目分两包进行采购，第一包面向三级及三级以上医院，预计体检人数478人，预算金额为95.6万元，第二包面向三级以下医院和社会专业体检机构，预计体检人数138人，预算金额为27.6万元。</w:t>
            </w:r>
          </w:p>
          <w:p w14:paraId="01383D07">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本项目一采三年，合同一年一签，第二年、第三年合同金额以实际体检人数为准。</w:t>
            </w:r>
          </w:p>
          <w:p w14:paraId="4D3E767A">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需求部门确认，需求内容与项目立项、预算评审（如有）内容一致。</w:t>
            </w:r>
          </w:p>
        </w:tc>
      </w:tr>
      <w:tr w14:paraId="358F4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3CF36DB2">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3</w:t>
            </w:r>
          </w:p>
        </w:tc>
        <w:tc>
          <w:tcPr>
            <w:tcW w:w="1763" w:type="dxa"/>
            <w:vAlign w:val="center"/>
          </w:tcPr>
          <w:p w14:paraId="084C4E84">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项目属性和类别</w:t>
            </w:r>
          </w:p>
        </w:tc>
        <w:tc>
          <w:tcPr>
            <w:tcW w:w="6435" w:type="dxa"/>
            <w:gridSpan w:val="2"/>
            <w:vAlign w:val="center"/>
          </w:tcPr>
          <w:p w14:paraId="5C33FCE5">
            <w:pPr>
              <w:spacing w:before="48" w:after="48" w:line="240" w:lineRule="auto"/>
              <w:jc w:val="left"/>
              <w:rPr>
                <w:rFonts w:ascii="宋体" w:hAnsi="宋体" w:eastAsia="宋体" w:cs="宋体"/>
                <w:b w:val="0"/>
                <w:color w:val="000000"/>
                <w:sz w:val="21"/>
              </w:rPr>
            </w:pPr>
            <w:r>
              <w:rPr>
                <w:rFonts w:ascii="宋体" w:hAnsi="宋体" w:eastAsia="宋体" w:cs="宋体"/>
                <w:b/>
                <w:color w:val="000000"/>
                <w:sz w:val="21"/>
                <w:highlight w:val="white"/>
              </w:rPr>
              <w:t>项目属性：</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货物</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服务</w:t>
            </w:r>
          </w:p>
          <w:p w14:paraId="21B15857">
            <w:pPr>
              <w:spacing w:before="48" w:after="48" w:line="240" w:lineRule="auto"/>
              <w:jc w:val="left"/>
              <w:rPr>
                <w:rFonts w:ascii="宋体" w:hAnsi="宋体" w:eastAsia="宋体" w:cs="宋体"/>
                <w:b w:val="0"/>
                <w:color w:val="000000"/>
                <w:sz w:val="21"/>
              </w:rPr>
            </w:pPr>
            <w:r>
              <w:rPr>
                <w:rFonts w:ascii="宋体" w:hAnsi="宋体" w:eastAsia="宋体" w:cs="宋体"/>
                <w:b/>
                <w:color w:val="000000"/>
                <w:sz w:val="21"/>
                <w:highlight w:val="white"/>
              </w:rPr>
              <w:t>项目类别：</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信息化项目</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非信息化项目</w:t>
            </w:r>
          </w:p>
        </w:tc>
      </w:tr>
      <w:tr w14:paraId="6B176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F3D1594">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4</w:t>
            </w:r>
          </w:p>
        </w:tc>
        <w:tc>
          <w:tcPr>
            <w:tcW w:w="1763" w:type="dxa"/>
            <w:vAlign w:val="center"/>
          </w:tcPr>
          <w:p w14:paraId="799D0138">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投标人资格要求</w:t>
            </w:r>
          </w:p>
        </w:tc>
        <w:tc>
          <w:tcPr>
            <w:tcW w:w="6435" w:type="dxa"/>
            <w:gridSpan w:val="2"/>
            <w:vAlign w:val="center"/>
          </w:tcPr>
          <w:p w14:paraId="1B815F98">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1.符合国家有关法律规定，在中国境内（指关境内）注册，满足《中华人民共和国政府采购法》第二十二条规定。</w:t>
            </w:r>
          </w:p>
          <w:p w14:paraId="6C51E077">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2.落实政府采购政策需满足的资格要求：无</w:t>
            </w:r>
          </w:p>
          <w:p w14:paraId="7BAC9B83">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3.本项目的特定资格要求：具有有效期内的卫生行政部门核准登记取得的《医疗机构执业许可证》和《放射诊疗许可证》。</w:t>
            </w:r>
          </w:p>
        </w:tc>
      </w:tr>
      <w:tr w14:paraId="0D039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515DDF18">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5</w:t>
            </w:r>
          </w:p>
        </w:tc>
        <w:tc>
          <w:tcPr>
            <w:tcW w:w="1763" w:type="dxa"/>
            <w:vAlign w:val="center"/>
          </w:tcPr>
          <w:p w14:paraId="12CF881E">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是否接受联合体投标</w:t>
            </w:r>
          </w:p>
        </w:tc>
        <w:tc>
          <w:tcPr>
            <w:tcW w:w="6435" w:type="dxa"/>
            <w:gridSpan w:val="2"/>
            <w:vAlign w:val="center"/>
          </w:tcPr>
          <w:p w14:paraId="217D11AB">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不接受</w:t>
            </w:r>
          </w:p>
          <w:p w14:paraId="0CD05653">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接受</w:t>
            </w:r>
          </w:p>
        </w:tc>
      </w:tr>
      <w:tr w14:paraId="18050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165138EC">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6</w:t>
            </w:r>
          </w:p>
        </w:tc>
        <w:tc>
          <w:tcPr>
            <w:tcW w:w="1763" w:type="dxa"/>
            <w:vAlign w:val="center"/>
          </w:tcPr>
          <w:p w14:paraId="5244A68C">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采购标的对应的中小企业划分标准所属行业</w:t>
            </w:r>
          </w:p>
        </w:tc>
        <w:tc>
          <w:tcPr>
            <w:tcW w:w="6435" w:type="dxa"/>
            <w:gridSpan w:val="2"/>
            <w:vAlign w:val="center"/>
          </w:tcPr>
          <w:p w14:paraId="30CF41D5">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其它未列明行业</w:t>
            </w:r>
          </w:p>
        </w:tc>
      </w:tr>
      <w:tr w14:paraId="65D51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72901E49">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7</w:t>
            </w:r>
          </w:p>
        </w:tc>
        <w:tc>
          <w:tcPr>
            <w:tcW w:w="1763" w:type="dxa"/>
            <w:vAlign w:val="center"/>
          </w:tcPr>
          <w:p w14:paraId="565B970F">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核心产品</w:t>
            </w:r>
          </w:p>
        </w:tc>
        <w:tc>
          <w:tcPr>
            <w:tcW w:w="6435" w:type="dxa"/>
            <w:gridSpan w:val="2"/>
            <w:vAlign w:val="center"/>
          </w:tcPr>
          <w:p w14:paraId="25F54B6D">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无</w:t>
            </w:r>
          </w:p>
          <w:p w14:paraId="75DBF89D">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有</w:t>
            </w:r>
          </w:p>
          <w:p w14:paraId="3DC958FE">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rPr>
              <w:t>产品名称：</w:t>
            </w:r>
          </w:p>
          <w:p w14:paraId="56EAC602">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多家投标人提供的核心产品品牌相同，且通过资格审查、符合性审查的，按一家投标人计算，评审后得分最高的同品牌投标人获得中标人推荐资格，其他同品牌投标人不作为中标候选人。</w:t>
            </w:r>
          </w:p>
        </w:tc>
      </w:tr>
      <w:tr w14:paraId="77EA4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8895A9A">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8</w:t>
            </w:r>
          </w:p>
        </w:tc>
        <w:tc>
          <w:tcPr>
            <w:tcW w:w="1763" w:type="dxa"/>
            <w:vAlign w:val="center"/>
          </w:tcPr>
          <w:p w14:paraId="1D78222B">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采购进口产品</w:t>
            </w:r>
          </w:p>
        </w:tc>
        <w:tc>
          <w:tcPr>
            <w:tcW w:w="6435" w:type="dxa"/>
            <w:gridSpan w:val="2"/>
            <w:vAlign w:val="center"/>
          </w:tcPr>
          <w:p w14:paraId="20B32263">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本采购项目拒绝进口产品参加投标</w:t>
            </w:r>
          </w:p>
          <w:p w14:paraId="10BA8C87">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本采购项目已经财政部审核同意购买进口产品</w:t>
            </w:r>
          </w:p>
          <w:p w14:paraId="5823F576">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其他</w:t>
            </w:r>
          </w:p>
        </w:tc>
      </w:tr>
      <w:tr w14:paraId="03A0C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0982680A">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9</w:t>
            </w:r>
          </w:p>
        </w:tc>
        <w:tc>
          <w:tcPr>
            <w:tcW w:w="1763" w:type="dxa"/>
            <w:vAlign w:val="center"/>
          </w:tcPr>
          <w:p w14:paraId="0DF36C18">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信息发布媒体</w:t>
            </w:r>
          </w:p>
        </w:tc>
        <w:tc>
          <w:tcPr>
            <w:tcW w:w="6435" w:type="dxa"/>
            <w:gridSpan w:val="2"/>
            <w:vAlign w:val="center"/>
          </w:tcPr>
          <w:p w14:paraId="51CB947C">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中国政府采购网（www.ccgp.gov.cn）</w:t>
            </w:r>
          </w:p>
          <w:p w14:paraId="6F5C5C76">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国家税务总局集中采购中心网站（https://swcg.chinatax.gov.cn）</w:t>
            </w:r>
          </w:p>
          <w:p w14:paraId="29A6BE13">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国家税务总局长春市税务局官网（http://jilin.chinatax.gov.cn/col/col822/）</w:t>
            </w:r>
          </w:p>
        </w:tc>
      </w:tr>
      <w:tr w14:paraId="4AD16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8B31E43">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10</w:t>
            </w:r>
          </w:p>
        </w:tc>
        <w:tc>
          <w:tcPr>
            <w:tcW w:w="1763" w:type="dxa"/>
            <w:vAlign w:val="center"/>
          </w:tcPr>
          <w:p w14:paraId="492DBEB2">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获取招标文件时间、地点和方式等</w:t>
            </w:r>
          </w:p>
        </w:tc>
        <w:tc>
          <w:tcPr>
            <w:tcW w:w="6435" w:type="dxa"/>
            <w:gridSpan w:val="2"/>
            <w:vAlign w:val="center"/>
          </w:tcPr>
          <w:p w14:paraId="6974BA25">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none"/>
              </w:rPr>
              <w:t>2025年11月18日至2025年11月24日每天8:00至20:00（北京时间，法定节假日除外）</w:t>
            </w:r>
          </w:p>
          <w:p w14:paraId="0D70BB2A">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none"/>
              </w:rPr>
              <w:t>国家税务总局集中采购中心网站（https://swcg.chinatax.gov.cn）</w:t>
            </w:r>
          </w:p>
          <w:p w14:paraId="314137E2">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方式：</w:t>
            </w:r>
            <w:r>
              <w:rPr>
                <w:rFonts w:ascii="宋体" w:hAnsi="宋体" w:eastAsia="宋体" w:cs="宋体"/>
                <w:b w:val="0"/>
                <w:color w:val="000000"/>
                <w:sz w:val="21"/>
                <w:highlight w:val="white"/>
                <w:u w:val="none"/>
              </w:rPr>
              <w:t>供应商在国家税务总局集中采购中心网站，点击“供应商登录”，完成注册，登录国家税务总局政府采购评审管理系统，报名并免费下载采购文件电子版。没有报名的供应商，不能参加本项目采购活动。</w:t>
            </w:r>
          </w:p>
        </w:tc>
      </w:tr>
      <w:tr w14:paraId="271BD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8897243">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11</w:t>
            </w:r>
          </w:p>
        </w:tc>
        <w:tc>
          <w:tcPr>
            <w:tcW w:w="1763" w:type="dxa"/>
            <w:vAlign w:val="center"/>
          </w:tcPr>
          <w:p w14:paraId="399FF77F">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现场考察</w:t>
            </w:r>
          </w:p>
        </w:tc>
        <w:tc>
          <w:tcPr>
            <w:tcW w:w="6435" w:type="dxa"/>
            <w:gridSpan w:val="2"/>
            <w:vAlign w:val="center"/>
          </w:tcPr>
          <w:p w14:paraId="119CE173">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不组织现场考察</w:t>
            </w:r>
          </w:p>
          <w:p w14:paraId="40A6CF98">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组织现场考察：</w:t>
            </w:r>
          </w:p>
          <w:p w14:paraId="7E46D30E">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月</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日（北京时间）</w:t>
            </w:r>
          </w:p>
          <w:p w14:paraId="0C2E3032">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single"/>
              </w:rPr>
              <w:t>__________</w:t>
            </w:r>
          </w:p>
          <w:p w14:paraId="2F9B5E77">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联系人：</w:t>
            </w:r>
            <w:r>
              <w:rPr>
                <w:rFonts w:ascii="宋体" w:hAnsi="宋体" w:eastAsia="宋体" w:cs="宋体"/>
                <w:b w:val="0"/>
                <w:color w:val="000000"/>
                <w:sz w:val="21"/>
                <w:highlight w:val="white"/>
                <w:u w:val="single"/>
              </w:rPr>
              <w:t>__________</w:t>
            </w:r>
          </w:p>
          <w:p w14:paraId="3E682E73">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联系电话：</w:t>
            </w:r>
            <w:r>
              <w:rPr>
                <w:rFonts w:ascii="宋体" w:hAnsi="宋体" w:eastAsia="宋体" w:cs="宋体"/>
                <w:b w:val="0"/>
                <w:color w:val="000000"/>
                <w:sz w:val="21"/>
                <w:highlight w:val="white"/>
                <w:u w:val="single"/>
              </w:rPr>
              <w:t>__________</w:t>
            </w:r>
          </w:p>
          <w:p w14:paraId="775A5EA9">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要求：</w:t>
            </w:r>
          </w:p>
        </w:tc>
      </w:tr>
      <w:tr w14:paraId="29E51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14:paraId="246B641B">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12</w:t>
            </w:r>
          </w:p>
        </w:tc>
        <w:tc>
          <w:tcPr>
            <w:tcW w:w="1763" w:type="dxa"/>
            <w:vMerge w:val="restart"/>
            <w:vAlign w:val="center"/>
          </w:tcPr>
          <w:p w14:paraId="6B44D6D8">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投标文件组成</w:t>
            </w:r>
          </w:p>
        </w:tc>
        <w:tc>
          <w:tcPr>
            <w:tcW w:w="612" w:type="dxa"/>
            <w:vMerge w:val="restart"/>
            <w:vAlign w:val="center"/>
          </w:tcPr>
          <w:p w14:paraId="4D09651B">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商务部分</w:t>
            </w:r>
          </w:p>
        </w:tc>
        <w:tc>
          <w:tcPr>
            <w:tcW w:w="5822" w:type="dxa"/>
            <w:vAlign w:val="center"/>
          </w:tcPr>
          <w:p w14:paraId="4B9391E2">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一、资格证明文件：</w:t>
            </w:r>
          </w:p>
          <w:p w14:paraId="2DBE7CC2">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1.★法人或者其他组织的营业执照等证明文件（上传扫描件）；</w:t>
            </w:r>
          </w:p>
          <w:p w14:paraId="25C11CE3">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2.★2024年度经会计师事务所审计的财务报告（须上传加盖会计师事务所公章及注册会计师签章的扫描件）；没有经审计的财务报告的，可以提供基本开户银行出具的资信证明（上传扫描件）；</w:t>
            </w:r>
          </w:p>
          <w:p w14:paraId="593D1C72">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3.★2025年1月以来不少于1个月依法缴纳税收（不包括个人所得税）的相关材料，如依法免税或不需要纳税的，则应提供相应证明材料（上传扫描件）；</w:t>
            </w:r>
          </w:p>
          <w:p w14:paraId="66475732">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4.★2025年1月以来不少于1个月的依法缴纳社会保障资金的相关材料，如依法不需要缴纳社会保障资金的，则应提供相应证明材料（上传扫描件）；；</w:t>
            </w:r>
          </w:p>
          <w:p w14:paraId="5C236433">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5.★参加本项目投标前三年内，在经营活动中没有重大违法记录（指供应商因违法经营受到刑事处罚或者责令停产停业、吊销许可证或者执照、较大数额罚款等行政处罚）的书面声明；</w:t>
            </w:r>
          </w:p>
          <w:p w14:paraId="1EDC8EDA">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6.★具备履行合同所必需的设备和专业技术能力的证明材料（供应商根据项目需求提供证明材料或承诺）；</w:t>
            </w:r>
          </w:p>
          <w:p w14:paraId="45489248">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7.★具有有效期内的卫生行政部门核准登记取得的《医疗机构执业许可证》和《放射诊疗许可证》。</w:t>
            </w:r>
          </w:p>
        </w:tc>
      </w:tr>
      <w:tr w14:paraId="30721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3A409FA6">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14:paraId="24987A22">
            <w:pPr>
              <w:spacing w:before="48" w:after="48" w:line="240" w:lineRule="auto"/>
              <w:jc w:val="center"/>
              <w:rPr>
                <w:rFonts w:ascii="宋体" w:hAnsi="宋体" w:eastAsia="宋体" w:cs="宋体"/>
                <w:b w:val="0"/>
                <w:color w:val="000000"/>
                <w:sz w:val="21"/>
                <w:u w:val="none"/>
              </w:rPr>
            </w:pPr>
          </w:p>
        </w:tc>
        <w:tc>
          <w:tcPr>
            <w:tcW w:w="612" w:type="dxa"/>
            <w:vMerge w:val="continue"/>
            <w:vAlign w:val="center"/>
          </w:tcPr>
          <w:p w14:paraId="252320FB">
            <w:pPr>
              <w:spacing w:before="48" w:after="48" w:line="240" w:lineRule="auto"/>
              <w:jc w:val="center"/>
              <w:rPr>
                <w:rFonts w:ascii="宋体" w:hAnsi="宋体" w:eastAsia="宋体" w:cs="宋体"/>
                <w:b w:val="0"/>
                <w:color w:val="000000"/>
                <w:sz w:val="21"/>
                <w:u w:val="none"/>
              </w:rPr>
            </w:pPr>
          </w:p>
        </w:tc>
        <w:tc>
          <w:tcPr>
            <w:tcW w:w="5822" w:type="dxa"/>
            <w:vAlign w:val="center"/>
          </w:tcPr>
          <w:p w14:paraId="7B7EAF10">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二、报价一览表：</w:t>
            </w:r>
          </w:p>
          <w:p w14:paraId="5D16426D">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1.投标报价表（开标一览表）。</w:t>
            </w:r>
          </w:p>
        </w:tc>
      </w:tr>
      <w:tr w14:paraId="324C5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07EB9781">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14:paraId="190D4253">
            <w:pPr>
              <w:spacing w:before="48" w:after="48" w:line="240" w:lineRule="auto"/>
              <w:jc w:val="center"/>
              <w:rPr>
                <w:rFonts w:ascii="宋体" w:hAnsi="宋体" w:eastAsia="宋体" w:cs="宋体"/>
                <w:b w:val="0"/>
                <w:color w:val="000000"/>
                <w:sz w:val="21"/>
                <w:u w:val="none"/>
              </w:rPr>
            </w:pPr>
          </w:p>
        </w:tc>
        <w:tc>
          <w:tcPr>
            <w:tcW w:w="612" w:type="dxa"/>
            <w:vMerge w:val="continue"/>
            <w:vAlign w:val="center"/>
          </w:tcPr>
          <w:p w14:paraId="5D962BF1">
            <w:pPr>
              <w:spacing w:before="48" w:after="48" w:line="240" w:lineRule="auto"/>
              <w:jc w:val="center"/>
              <w:rPr>
                <w:rFonts w:ascii="宋体" w:hAnsi="宋体" w:eastAsia="宋体" w:cs="宋体"/>
                <w:b w:val="0"/>
                <w:color w:val="000000"/>
                <w:sz w:val="21"/>
                <w:u w:val="none"/>
              </w:rPr>
            </w:pPr>
          </w:p>
        </w:tc>
        <w:tc>
          <w:tcPr>
            <w:tcW w:w="5822" w:type="dxa"/>
            <w:vAlign w:val="center"/>
          </w:tcPr>
          <w:p w14:paraId="73BEA5CF">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三、其他文件及资料：</w:t>
            </w:r>
          </w:p>
          <w:p w14:paraId="1CA6908C">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1.★法定代表人授权委托书(适用于被授权投标代表参与投标活动的，上传加盖公章的扫描件)或法定代表人身份证明 (适用于法定代表人参加投标活动的，上传加盖公章的扫描件)；</w:t>
            </w:r>
          </w:p>
          <w:p w14:paraId="60219A07">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2.★投标函（上传加盖公章的扫描件）；</w:t>
            </w:r>
          </w:p>
          <w:p w14:paraId="1FC0A5F5">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3.★商务条款偏离表；</w:t>
            </w:r>
          </w:p>
          <w:p w14:paraId="596D5163">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4.成功案例一览表；</w:t>
            </w:r>
          </w:p>
          <w:p w14:paraId="56DF7F7E">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5.投标人认为需要提供的其它说明和资料。</w:t>
            </w:r>
          </w:p>
        </w:tc>
      </w:tr>
      <w:tr w14:paraId="58B6C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3D566E55">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14:paraId="2934C1CE">
            <w:pPr>
              <w:spacing w:before="48" w:after="48" w:line="240" w:lineRule="auto"/>
              <w:jc w:val="center"/>
              <w:rPr>
                <w:rFonts w:ascii="宋体" w:hAnsi="宋体" w:eastAsia="宋体" w:cs="宋体"/>
                <w:b w:val="0"/>
                <w:color w:val="000000"/>
                <w:sz w:val="21"/>
                <w:u w:val="none"/>
              </w:rPr>
            </w:pPr>
          </w:p>
        </w:tc>
        <w:tc>
          <w:tcPr>
            <w:tcW w:w="612" w:type="dxa"/>
            <w:vAlign w:val="center"/>
          </w:tcPr>
          <w:p w14:paraId="27AFC627">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技术部分</w:t>
            </w:r>
          </w:p>
        </w:tc>
        <w:tc>
          <w:tcPr>
            <w:tcW w:w="5822" w:type="dxa"/>
            <w:vAlign w:val="center"/>
          </w:tcPr>
          <w:p w14:paraId="5B713016">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1.★技术条款偏离表；</w:t>
            </w:r>
          </w:p>
          <w:p w14:paraId="0BD8A84C">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2.★技术力量一览表；</w:t>
            </w:r>
          </w:p>
          <w:p w14:paraId="485CC856">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3.技术人员简历表；</w:t>
            </w:r>
          </w:p>
          <w:p w14:paraId="596A6234">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4.投标人认为需要提供的其他说明和资料。</w:t>
            </w:r>
          </w:p>
        </w:tc>
      </w:tr>
      <w:tr w14:paraId="47965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136E51BE">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14:paraId="1CEFB128">
            <w:pPr>
              <w:spacing w:before="48" w:after="48" w:line="240" w:lineRule="auto"/>
              <w:jc w:val="center"/>
              <w:rPr>
                <w:rFonts w:ascii="宋体" w:hAnsi="宋体" w:eastAsia="宋体" w:cs="宋体"/>
                <w:b w:val="0"/>
                <w:color w:val="000000"/>
                <w:sz w:val="21"/>
                <w:u w:val="none"/>
              </w:rPr>
            </w:pPr>
          </w:p>
        </w:tc>
        <w:tc>
          <w:tcPr>
            <w:tcW w:w="6435" w:type="dxa"/>
            <w:gridSpan w:val="2"/>
            <w:vAlign w:val="center"/>
          </w:tcPr>
          <w:p w14:paraId="34A47964">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1.以上带★的文件及资料未提供或提供的无效，则投标无效。</w:t>
            </w:r>
          </w:p>
          <w:p w14:paraId="2E7194F6">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2.要求提供扫描件的，照片、图片等电子文件与扫描件效力相等。</w:t>
            </w:r>
          </w:p>
        </w:tc>
      </w:tr>
      <w:tr w14:paraId="6EBF5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75A1775C">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13</w:t>
            </w:r>
          </w:p>
        </w:tc>
        <w:tc>
          <w:tcPr>
            <w:tcW w:w="1763" w:type="dxa"/>
            <w:vAlign w:val="center"/>
          </w:tcPr>
          <w:p w14:paraId="7D044FAC">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投标有效期</w:t>
            </w:r>
          </w:p>
        </w:tc>
        <w:tc>
          <w:tcPr>
            <w:tcW w:w="6435" w:type="dxa"/>
            <w:gridSpan w:val="2"/>
            <w:vAlign w:val="center"/>
          </w:tcPr>
          <w:p w14:paraId="66685457">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120天（从提交投标文件的截止之日起计算）</w:t>
            </w:r>
          </w:p>
        </w:tc>
      </w:tr>
      <w:tr w14:paraId="2CA43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7F6A1128">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14</w:t>
            </w:r>
          </w:p>
        </w:tc>
        <w:tc>
          <w:tcPr>
            <w:tcW w:w="1763" w:type="dxa"/>
            <w:vAlign w:val="center"/>
          </w:tcPr>
          <w:p w14:paraId="4BDAC264">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提交投标文件方式、截止时间、开标时间</w:t>
            </w:r>
          </w:p>
        </w:tc>
        <w:tc>
          <w:tcPr>
            <w:tcW w:w="6435" w:type="dxa"/>
            <w:gridSpan w:val="2"/>
            <w:vAlign w:val="center"/>
          </w:tcPr>
          <w:p w14:paraId="490C4336">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提交方式：</w:t>
            </w:r>
            <w:r>
              <w:rPr>
                <w:rFonts w:ascii="宋体" w:hAnsi="宋体" w:eastAsia="宋体" w:cs="宋体"/>
                <w:b w:val="0"/>
                <w:color w:val="000000"/>
                <w:sz w:val="21"/>
                <w:highlight w:val="white"/>
                <w:u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14:paraId="4EA517D2">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投标截止时间和开标时间：</w:t>
            </w:r>
            <w:r>
              <w:rPr>
                <w:rFonts w:ascii="宋体" w:hAnsi="宋体" w:eastAsia="宋体" w:cs="宋体"/>
                <w:b w:val="0"/>
                <w:color w:val="000000"/>
                <w:sz w:val="21"/>
                <w:highlight w:val="white"/>
                <w:u w:val="none"/>
              </w:rPr>
              <w:t>2025年12月12日9:05（北京时间）</w:t>
            </w:r>
          </w:p>
          <w:p w14:paraId="614E634D">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开标方式：</w:t>
            </w:r>
            <w:r>
              <w:rPr>
                <w:rFonts w:ascii="宋体" w:hAnsi="宋体" w:eastAsia="宋体" w:cs="宋体"/>
                <w:b w:val="0"/>
                <w:color w:val="000000"/>
                <w:sz w:val="21"/>
                <w:highlight w:val="white"/>
                <w:u w:val="none"/>
              </w:rPr>
              <w:t>本项目通过国家税务总局政府采购评审管理系统进行开标，投标人应在开标前登录系统点击“开标大厅”，参加开标过程并确认开标结果，投标人未参加开标的视同认同开标结果。</w:t>
            </w:r>
          </w:p>
          <w:p w14:paraId="7E1C3DEE">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联系电话：</w:t>
            </w:r>
            <w:r>
              <w:rPr>
                <w:rFonts w:ascii="宋体" w:hAnsi="宋体" w:eastAsia="宋体" w:cs="宋体"/>
                <w:b w:val="0"/>
                <w:color w:val="000000"/>
                <w:sz w:val="21"/>
                <w:highlight w:val="white"/>
                <w:u w:val="none"/>
              </w:rPr>
              <w:t>400-6168-636转1、0431-80505768/80502055</w:t>
            </w:r>
          </w:p>
        </w:tc>
      </w:tr>
      <w:tr w14:paraId="051FF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4673B87">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15</w:t>
            </w:r>
          </w:p>
        </w:tc>
        <w:tc>
          <w:tcPr>
            <w:tcW w:w="1763" w:type="dxa"/>
            <w:vAlign w:val="center"/>
          </w:tcPr>
          <w:p w14:paraId="248221AE">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投标保证金</w:t>
            </w:r>
          </w:p>
        </w:tc>
        <w:tc>
          <w:tcPr>
            <w:tcW w:w="6435" w:type="dxa"/>
            <w:gridSpan w:val="2"/>
            <w:vAlign w:val="center"/>
          </w:tcPr>
          <w:p w14:paraId="2E631361">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不要求提供</w:t>
            </w:r>
          </w:p>
          <w:p w14:paraId="5B78C9F6">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要求提供，数额不得超过采购项目预算金额的</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本项目的投标保证金为人民币</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元， 提交方式为银行电汇、金融机构或担保机构出具的保函。</w:t>
            </w:r>
          </w:p>
        </w:tc>
      </w:tr>
      <w:tr w14:paraId="436B2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16C9A25">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16</w:t>
            </w:r>
          </w:p>
        </w:tc>
        <w:tc>
          <w:tcPr>
            <w:tcW w:w="1763" w:type="dxa"/>
            <w:vAlign w:val="center"/>
          </w:tcPr>
          <w:p w14:paraId="7A9185A9">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信用记录审查</w:t>
            </w:r>
          </w:p>
        </w:tc>
        <w:tc>
          <w:tcPr>
            <w:tcW w:w="6435" w:type="dxa"/>
            <w:gridSpan w:val="2"/>
            <w:vAlign w:val="center"/>
          </w:tcPr>
          <w:p w14:paraId="1C72A3D9">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14:paraId="1FC770E7">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本次查询的信用记录仅限于本项目使用，查询结果将留存在采购档案中。</w:t>
            </w:r>
          </w:p>
          <w:p w14:paraId="7A86D094">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在上述指定网站不能查询信用信息的投标人，应提供相关证明材料（原件加盖公章）。</w:t>
            </w:r>
          </w:p>
        </w:tc>
      </w:tr>
      <w:tr w14:paraId="26E4F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07A97AB0">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17</w:t>
            </w:r>
          </w:p>
        </w:tc>
        <w:tc>
          <w:tcPr>
            <w:tcW w:w="1763" w:type="dxa"/>
            <w:vAlign w:val="center"/>
          </w:tcPr>
          <w:p w14:paraId="66AB14A7">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促进中小企业发展</w:t>
            </w:r>
          </w:p>
        </w:tc>
        <w:tc>
          <w:tcPr>
            <w:tcW w:w="6435" w:type="dxa"/>
            <w:gridSpan w:val="2"/>
            <w:vAlign w:val="center"/>
          </w:tcPr>
          <w:p w14:paraId="586C0E53">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根据《政府采购促进中小企业发展管理办法》（财库〔2020〕46号），鼓励中小企业参加本项目采购活动。</w:t>
            </w:r>
          </w:p>
          <w:p w14:paraId="4A87D576">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在货物采购项目中，满足所有标的均由中小企业制造，即所有标的均由中小企业生产且使用该中小企业商号或者注册商标的，可享受中小企业扶持政策。</w:t>
            </w:r>
          </w:p>
          <w:p w14:paraId="6F69B6B4">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在服务采购项目中，满足服务由中小企业承接，即提供服务的人员为中小企业依照《中华人民共和国劳动合同法》订立劳动合同的从业人员的，可享受中小企业扶持政策。</w:t>
            </w:r>
          </w:p>
          <w:p w14:paraId="646C245C">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w:t>
            </w:r>
          </w:p>
          <w:p w14:paraId="788E71EE">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专门面向中小企业采购项目。</w:t>
            </w:r>
          </w:p>
          <w:p w14:paraId="771C4F60">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预留份额面向中小企业采购项目。</w:t>
            </w:r>
          </w:p>
          <w:p w14:paraId="68DDF88A">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非专门面向中小企业采购项目。对小型和微型企业的投标价格给予</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xml:space="preserve"> %的扣除，用扣除后的价格参与评审。</w:t>
            </w:r>
          </w:p>
        </w:tc>
      </w:tr>
      <w:tr w14:paraId="073B7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7A627469">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18</w:t>
            </w:r>
          </w:p>
        </w:tc>
        <w:tc>
          <w:tcPr>
            <w:tcW w:w="1763" w:type="dxa"/>
            <w:vAlign w:val="center"/>
          </w:tcPr>
          <w:p w14:paraId="24EC8733">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支持监狱企业发展</w:t>
            </w:r>
          </w:p>
        </w:tc>
        <w:tc>
          <w:tcPr>
            <w:tcW w:w="6435" w:type="dxa"/>
            <w:gridSpan w:val="2"/>
            <w:vAlign w:val="center"/>
          </w:tcPr>
          <w:p w14:paraId="2DBE0FDD">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根据《关于政府采购支持监狱企业发展有关问题的通知》（财库〔2014〕68号），监狱企业视同小型、微型企业，按照投标人须知前附表第17项享受政府采购促进中小企业发展的政府采购政策。</w:t>
            </w:r>
          </w:p>
        </w:tc>
      </w:tr>
      <w:tr w14:paraId="19A20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3EB8405B">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19</w:t>
            </w:r>
          </w:p>
        </w:tc>
        <w:tc>
          <w:tcPr>
            <w:tcW w:w="1763" w:type="dxa"/>
            <w:vAlign w:val="center"/>
          </w:tcPr>
          <w:p w14:paraId="2AF8A0FD">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促进残疾人就业</w:t>
            </w:r>
          </w:p>
        </w:tc>
        <w:tc>
          <w:tcPr>
            <w:tcW w:w="6435" w:type="dxa"/>
            <w:gridSpan w:val="2"/>
            <w:vAlign w:val="center"/>
          </w:tcPr>
          <w:p w14:paraId="4AEDC543">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根据《关于促进残疾人就业政府采购政策的通知》（财库〔2017〕141号），残疾人福利性单位视同小型、微型企业，按照投标人须知前附表第17项享受政府采购促进中小企业发展的政府采购政策。</w:t>
            </w:r>
          </w:p>
        </w:tc>
      </w:tr>
      <w:tr w14:paraId="2ABCE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52A6B0B8">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20</w:t>
            </w:r>
          </w:p>
        </w:tc>
        <w:tc>
          <w:tcPr>
            <w:tcW w:w="1763" w:type="dxa"/>
            <w:vAlign w:val="center"/>
          </w:tcPr>
          <w:p w14:paraId="02F6C41D">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节能环保要求</w:t>
            </w:r>
          </w:p>
        </w:tc>
        <w:tc>
          <w:tcPr>
            <w:tcW w:w="6435" w:type="dxa"/>
            <w:gridSpan w:val="2"/>
            <w:vAlign w:val="center"/>
          </w:tcPr>
          <w:p w14:paraId="0E319B17">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 xml:space="preserve"> 严格执行《财政部 发展改革委 生态环境部 市场监管总局关于调整优化节能产品、环境标志产品政府采购执行机制的通知》（财库〔2019〕9号）。</w:t>
            </w:r>
          </w:p>
          <w:p w14:paraId="72C80235">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（1）*本次投标产品属于政府强制采购产品类别的，须按照要求提供依据国家确定的认证机构出具的、处于有效期之内的节能产品认证证书，否则投标无效；</w:t>
            </w:r>
          </w:p>
          <w:p w14:paraId="34912B21">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（2）属于政府优先采购产品类别的，须按照要求提供依据国家确定的认证机构出具的、处于有效期之内的节能产品或环境标志产品认证证书，否则不予认定。</w:t>
            </w:r>
          </w:p>
        </w:tc>
      </w:tr>
      <w:tr w14:paraId="5288F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3869B4E0">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21</w:t>
            </w:r>
          </w:p>
        </w:tc>
        <w:tc>
          <w:tcPr>
            <w:tcW w:w="1763" w:type="dxa"/>
            <w:vAlign w:val="center"/>
          </w:tcPr>
          <w:p w14:paraId="29D13C92">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其他法律法规强制性规定或扶持政策</w:t>
            </w:r>
          </w:p>
        </w:tc>
        <w:tc>
          <w:tcPr>
            <w:tcW w:w="6435" w:type="dxa"/>
            <w:gridSpan w:val="2"/>
            <w:vAlign w:val="center"/>
          </w:tcPr>
          <w:p w14:paraId="4DBBA751">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14:paraId="373079D5">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14:paraId="7F22EACB">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3.本项目中如涉及国家强制性产品认证证书（CCC 认证证书）、电信设备进网许可证、无线电发射设备核准证等市场准入类资质的，应严格执行国家相关法律法规的要求。</w:t>
            </w:r>
          </w:p>
          <w:p w14:paraId="779C2541">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在履约验收中，采购人将按照采购文件、中标/成交供应商响应文件、采购合同等对中标/成交供应商提供的货物和服务进行验收，必要时依法依规开展相应检测、认证。</w:t>
            </w:r>
          </w:p>
        </w:tc>
      </w:tr>
      <w:tr w14:paraId="75AFD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2D380C3D">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22</w:t>
            </w:r>
          </w:p>
        </w:tc>
        <w:tc>
          <w:tcPr>
            <w:tcW w:w="1763" w:type="dxa"/>
            <w:vAlign w:val="center"/>
          </w:tcPr>
          <w:p w14:paraId="553A048A">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评标方法及分值</w:t>
            </w:r>
          </w:p>
        </w:tc>
        <w:tc>
          <w:tcPr>
            <w:tcW w:w="6435" w:type="dxa"/>
            <w:gridSpan w:val="2"/>
            <w:vAlign w:val="center"/>
          </w:tcPr>
          <w:p w14:paraId="36176035">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本项目采用综合评分法，其中价格分值为0分，其他因素分值为100分，详见招标文件商务部分第三章。</w:t>
            </w:r>
          </w:p>
        </w:tc>
      </w:tr>
      <w:tr w14:paraId="77C36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516818A9">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23</w:t>
            </w:r>
          </w:p>
        </w:tc>
        <w:tc>
          <w:tcPr>
            <w:tcW w:w="1763" w:type="dxa"/>
            <w:vAlign w:val="center"/>
          </w:tcPr>
          <w:p w14:paraId="0DE93CE3">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合同类型和定价方式</w:t>
            </w:r>
          </w:p>
        </w:tc>
        <w:tc>
          <w:tcPr>
            <w:tcW w:w="6435" w:type="dxa"/>
            <w:gridSpan w:val="2"/>
            <w:vAlign w:val="center"/>
          </w:tcPr>
          <w:p w14:paraId="580A75A0">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本项目拟签订固定总价的服务类合同。</w:t>
            </w:r>
          </w:p>
        </w:tc>
      </w:tr>
      <w:tr w14:paraId="14302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06BD91C8">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24</w:t>
            </w:r>
          </w:p>
        </w:tc>
        <w:tc>
          <w:tcPr>
            <w:tcW w:w="1763" w:type="dxa"/>
            <w:vAlign w:val="center"/>
          </w:tcPr>
          <w:p w14:paraId="7FF8F509">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履约保证金</w:t>
            </w:r>
          </w:p>
        </w:tc>
        <w:tc>
          <w:tcPr>
            <w:tcW w:w="6435" w:type="dxa"/>
            <w:gridSpan w:val="2"/>
            <w:vAlign w:val="center"/>
          </w:tcPr>
          <w:p w14:paraId="311F12A9">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本项目不要求提供履约保证金。</w:t>
            </w:r>
          </w:p>
          <w:p w14:paraId="2305C08F">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联系部门：国家税务局长春市税务局</w:t>
            </w:r>
          </w:p>
          <w:p w14:paraId="6FD6BF67">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联系电话：0431-80505768、0431-80502055</w:t>
            </w:r>
          </w:p>
          <w:p w14:paraId="5BE172B0">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通讯地址：长春市南关区人民大街5766号</w:t>
            </w:r>
          </w:p>
          <w:p w14:paraId="621E56B6">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电子邮箱：</w:t>
            </w:r>
          </w:p>
        </w:tc>
      </w:tr>
      <w:tr w14:paraId="57D06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4F51227">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25</w:t>
            </w:r>
          </w:p>
        </w:tc>
        <w:tc>
          <w:tcPr>
            <w:tcW w:w="1763" w:type="dxa"/>
            <w:vAlign w:val="center"/>
          </w:tcPr>
          <w:p w14:paraId="52FB463F">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付款安排</w:t>
            </w:r>
          </w:p>
        </w:tc>
        <w:tc>
          <w:tcPr>
            <w:tcW w:w="6435" w:type="dxa"/>
            <w:gridSpan w:val="2"/>
            <w:vAlign w:val="center"/>
          </w:tcPr>
          <w:p w14:paraId="2CB7D13A">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本项目共安排1次付款，合同签订后30个工作日内，中标人提出付款申请并出具等额合同发票，采购人一次性支付合同金额。</w:t>
            </w:r>
          </w:p>
        </w:tc>
      </w:tr>
      <w:tr w14:paraId="79AD2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1D60302">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26</w:t>
            </w:r>
          </w:p>
        </w:tc>
        <w:tc>
          <w:tcPr>
            <w:tcW w:w="1763" w:type="dxa"/>
            <w:vAlign w:val="center"/>
          </w:tcPr>
          <w:p w14:paraId="462721A7">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接收质疑的方式、部门、电话和通讯地址</w:t>
            </w:r>
          </w:p>
        </w:tc>
        <w:tc>
          <w:tcPr>
            <w:tcW w:w="6435" w:type="dxa"/>
            <w:gridSpan w:val="2"/>
            <w:vAlign w:val="center"/>
          </w:tcPr>
          <w:p w14:paraId="0DA6236D">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参与本项目采购活动的供应商如有质疑的，请按照《政府采购质疑和投诉办法》第十二条有关规定通过国家税务总局政府采购评审管理系统等书面形式将质疑函提交采购人。</w:t>
            </w:r>
          </w:p>
          <w:p w14:paraId="61603A0A">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逾期提交的，采购人有权不予受理。</w:t>
            </w:r>
          </w:p>
          <w:p w14:paraId="161841A2">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联系部门：国家税务总局长春市税务局</w:t>
            </w:r>
          </w:p>
          <w:p w14:paraId="35D9229D">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联系电话：0431-80505768、0431-80502055</w:t>
            </w:r>
          </w:p>
          <w:p w14:paraId="672C4E45">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通讯地址：长春市南关区人民大街5766号</w:t>
            </w:r>
          </w:p>
          <w:p w14:paraId="31732A7A">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电子邮箱：</w:t>
            </w:r>
          </w:p>
        </w:tc>
      </w:tr>
    </w:tbl>
    <w:p w14:paraId="088B1F37">
      <w:pPr>
        <w:topLinePunct/>
        <w:autoSpaceDE w:val="0"/>
        <w:autoSpaceDN w:val="0"/>
        <w:adjustRightInd w:val="0"/>
        <w:snapToGrid w:val="0"/>
        <w:spacing w:after="0" w:line="360" w:lineRule="auto"/>
        <w:jc w:val="center"/>
        <w:rPr>
          <w:rFonts w:hint="eastAsia" w:ascii="宋体" w:hAnsi="宋体" w:eastAsia="宋体" w:cs="宋体"/>
          <w:color w:val="auto"/>
          <w:sz w:val="24"/>
          <w:szCs w:val="24"/>
          <w:highlight w:val="none"/>
        </w:rPr>
      </w:pPr>
      <w:r>
        <w:rPr>
          <w:color w:val="000000"/>
          <w:sz w:val="32"/>
          <w:szCs w:val="32"/>
          <w:highlight w:val="white"/>
        </w:rPr>
        <w:br w:type="page"/>
      </w:r>
    </w:p>
    <w:p w14:paraId="7CD673C0">
      <w:pPr>
        <w:topLinePunct/>
        <w:autoSpaceDE w:val="0"/>
        <w:autoSpaceDN w:val="0"/>
        <w:adjustRightInd w:val="0"/>
        <w:snapToGrid w:val="0"/>
        <w:spacing w:after="0" w:line="360" w:lineRule="auto"/>
        <w:jc w:val="center"/>
        <w:rPr>
          <w:b/>
          <w:color w:val="auto"/>
          <w:sz w:val="32"/>
          <w:szCs w:val="32"/>
        </w:rPr>
      </w:pPr>
      <w:r>
        <w:rPr>
          <w:rFonts w:hint="eastAsia"/>
          <w:b/>
          <w:color w:val="000000"/>
          <w:sz w:val="32"/>
          <w:szCs w:val="32"/>
          <w:highlight w:val="white"/>
        </w:rPr>
        <w:t>一、总则</w:t>
      </w:r>
    </w:p>
    <w:p w14:paraId="101710A0">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000000"/>
          <w:sz w:val="24"/>
          <w:highlight w:val="white"/>
        </w:rPr>
        <w:t>1.预算资金及来源</w:t>
      </w:r>
    </w:p>
    <w:p w14:paraId="24A233C3">
      <w:pPr>
        <w:topLinePunct/>
        <w:autoSpaceDE w:val="0"/>
        <w:autoSpaceDN w:val="0"/>
        <w:adjustRightInd w:val="0"/>
        <w:snapToGrid w:val="0"/>
        <w:spacing w:after="0" w:line="360" w:lineRule="auto"/>
        <w:ind w:left="432"/>
        <w:rPr>
          <w:rFonts w:ascii="宋体" w:hAnsi="宋体" w:cs="宋体"/>
          <w:color w:val="auto"/>
          <w:sz w:val="24"/>
        </w:rPr>
      </w:pPr>
      <w:r>
        <w:rPr>
          <w:rFonts w:hint="eastAsia" w:ascii="宋体" w:hAnsi="宋体" w:cs="宋体"/>
          <w:color w:val="000000"/>
          <w:sz w:val="24"/>
          <w:highlight w:val="white"/>
        </w:rPr>
        <w:t>1.1 本项目已批准立项。</w:t>
      </w:r>
    </w:p>
    <w:p w14:paraId="327D5DB3">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000000"/>
          <w:sz w:val="24"/>
          <w:highlight w:val="white"/>
        </w:rPr>
        <w:t>1.2 本项目预算资金见</w:t>
      </w:r>
      <w:r>
        <w:rPr>
          <w:rFonts w:hint="eastAsia" w:ascii="宋体" w:hAnsi="宋体" w:cs="宋体"/>
          <w:b/>
          <w:bCs/>
          <w:color w:val="000000"/>
          <w:sz w:val="24"/>
          <w:highlight w:val="white"/>
        </w:rPr>
        <w:t>投标人须知前附表</w:t>
      </w:r>
      <w:r>
        <w:rPr>
          <w:rFonts w:hint="eastAsia" w:ascii="宋体" w:hAnsi="宋体" w:cs="宋体"/>
          <w:color w:val="000000"/>
          <w:sz w:val="24"/>
          <w:highlight w:val="white"/>
        </w:rPr>
        <w:t>，已列入预算。</w:t>
      </w:r>
    </w:p>
    <w:p w14:paraId="40723995">
      <w:pPr>
        <w:topLinePunct/>
        <w:autoSpaceDE w:val="0"/>
        <w:autoSpaceDN w:val="0"/>
        <w:adjustRightInd w:val="0"/>
        <w:snapToGrid w:val="0"/>
        <w:spacing w:after="0" w:line="360" w:lineRule="auto"/>
        <w:rPr>
          <w:rFonts w:ascii="宋体" w:hAnsi="宋体" w:cs="宋体"/>
          <w:color w:val="auto"/>
          <w:sz w:val="24"/>
        </w:rPr>
      </w:pPr>
    </w:p>
    <w:p w14:paraId="5CB2C5E7">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2.合格的产品和服务</w:t>
      </w:r>
    </w:p>
    <w:p w14:paraId="038D8A3E">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 本项目所涉及的</w:t>
      </w:r>
      <w:r>
        <w:rPr>
          <w:rFonts w:hint="eastAsia" w:ascii="宋体" w:hAnsi="宋体" w:cs="宋体"/>
          <w:color w:val="000000"/>
          <w:sz w:val="24"/>
          <w:highlight w:val="white"/>
          <w:lang w:eastAsia="zh-CN"/>
        </w:rPr>
        <w:t>所有产品和</w:t>
      </w:r>
      <w:r>
        <w:rPr>
          <w:rFonts w:hint="eastAsia" w:ascii="宋体" w:hAnsi="宋体" w:cs="宋体"/>
          <w:color w:val="000000"/>
          <w:sz w:val="24"/>
          <w:highlight w:val="white"/>
        </w:rPr>
        <w:t>服务均应来自中国境内（指关境内），合同金额的支付也仅限于这些产品和服务。</w:t>
      </w:r>
    </w:p>
    <w:p w14:paraId="24A96669">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 合格的产品和服务即</w:t>
      </w:r>
      <w:r>
        <w:rPr>
          <w:rFonts w:hint="eastAsia" w:ascii="宋体" w:hAnsi="宋体" w:cs="宋体"/>
          <w:b/>
          <w:bCs/>
          <w:color w:val="000000"/>
          <w:sz w:val="24"/>
          <w:highlight w:val="white"/>
        </w:rPr>
        <w:t>采购需求</w:t>
      </w:r>
      <w:r>
        <w:rPr>
          <w:rFonts w:hint="eastAsia" w:ascii="宋体" w:hAnsi="宋体" w:cs="宋体"/>
          <w:color w:val="000000"/>
          <w:sz w:val="24"/>
          <w:highlight w:val="white"/>
        </w:rPr>
        <w:t>见</w:t>
      </w:r>
      <w:r>
        <w:rPr>
          <w:rFonts w:hint="eastAsia" w:ascii="宋体" w:hAnsi="宋体" w:cs="宋体"/>
          <w:b/>
          <w:color w:val="000000"/>
          <w:sz w:val="24"/>
          <w:highlight w:val="white"/>
        </w:rPr>
        <w:t>招标文件（技术部分）。</w:t>
      </w:r>
    </w:p>
    <w:p w14:paraId="5A567183">
      <w:pPr>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 投标人应保证所提供的产品及服务免受第三方提出侵犯其知识产权（专利权、商标权、工业设计权及使用权）的请求及起诉。</w:t>
      </w:r>
    </w:p>
    <w:p w14:paraId="3E4D3AB0">
      <w:pPr>
        <w:adjustRightInd w:val="0"/>
        <w:snapToGrid w:val="0"/>
        <w:spacing w:after="0" w:line="360" w:lineRule="auto"/>
        <w:ind w:firstLine="472" w:firstLineChars="196"/>
        <w:rPr>
          <w:rFonts w:ascii="宋体" w:hAnsi="宋体" w:cs="宋体"/>
          <w:b/>
          <w:color w:val="auto"/>
          <w:sz w:val="24"/>
        </w:rPr>
      </w:pPr>
    </w:p>
    <w:p w14:paraId="6B7ACBE5">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3.合格的投标人</w:t>
      </w:r>
    </w:p>
    <w:p w14:paraId="5243EB42">
      <w:pPr>
        <w:topLinePunct/>
        <w:autoSpaceDE w:val="0"/>
        <w:autoSpaceDN w:val="0"/>
        <w:adjustRightInd w:val="0"/>
        <w:snapToGrid w:val="0"/>
        <w:spacing w:after="0" w:line="360" w:lineRule="auto"/>
        <w:ind w:firstLine="432" w:firstLineChars="180"/>
        <w:rPr>
          <w:rFonts w:ascii="宋体" w:hAnsi="宋体" w:cs="宋体"/>
          <w:b/>
          <w:color w:val="auto"/>
          <w:sz w:val="24"/>
        </w:rPr>
      </w:pPr>
      <w:r>
        <w:rPr>
          <w:rFonts w:hint="eastAsia" w:ascii="宋体" w:hAnsi="宋体" w:cs="宋体"/>
          <w:color w:val="000000"/>
          <w:sz w:val="24"/>
          <w:highlight w:val="white"/>
        </w:rPr>
        <w:t>3.1 投标人的资格要求及本项目的特定资格要求见</w:t>
      </w:r>
      <w:r>
        <w:rPr>
          <w:rFonts w:hint="eastAsia" w:ascii="宋体" w:hAnsi="宋体" w:cs="宋体"/>
          <w:b/>
          <w:color w:val="000000"/>
          <w:sz w:val="24"/>
          <w:highlight w:val="white"/>
        </w:rPr>
        <w:t>投标人须知前附表。</w:t>
      </w:r>
    </w:p>
    <w:p w14:paraId="666AE55F">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000000"/>
          <w:sz w:val="24"/>
          <w:highlight w:val="white"/>
        </w:rPr>
        <w:t>3.2 投标人相关要求</w:t>
      </w:r>
    </w:p>
    <w:p w14:paraId="46578E3B">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000000"/>
          <w:sz w:val="24"/>
          <w:highlight w:val="white"/>
        </w:rPr>
        <w:t>3.2.1 单位负责人为同一人或者存在直接控股、管理关系的不同供应商，不得参加同一合同项下的政府采购活动。</w:t>
      </w:r>
    </w:p>
    <w:p w14:paraId="7DA64901">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000000"/>
          <w:sz w:val="24"/>
          <w:highlight w:val="white"/>
        </w:rPr>
        <w:t>3.2.2 为采购项目提供整体设计、规范编制或者项目管理、监理、检测等服务的供应商，不得再参加该采购项目的其他采购活动。</w:t>
      </w:r>
    </w:p>
    <w:p w14:paraId="68EF468B">
      <w:pPr>
        <w:adjustRightInd w:val="0"/>
        <w:snapToGrid w:val="0"/>
        <w:spacing w:after="0" w:line="360" w:lineRule="auto"/>
        <w:ind w:firstLine="434" w:firstLineChars="180"/>
        <w:rPr>
          <w:rFonts w:ascii="宋体" w:hAnsi="宋体" w:cs="宋体"/>
          <w:b/>
          <w:color w:val="auto"/>
          <w:sz w:val="24"/>
        </w:rPr>
      </w:pPr>
    </w:p>
    <w:p w14:paraId="4E06DD95">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4.投标费用</w:t>
      </w:r>
    </w:p>
    <w:p w14:paraId="3A15C4D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4.1 投标人应承担所有与编写、提交投标文件有关的费用，不论招标的结果如何，采购人在任何情况下均无义务和责任承担这些费用。</w:t>
      </w:r>
    </w:p>
    <w:p w14:paraId="5902B73F">
      <w:pPr>
        <w:topLinePunct/>
        <w:autoSpaceDE w:val="0"/>
        <w:autoSpaceDN w:val="0"/>
        <w:adjustRightInd w:val="0"/>
        <w:snapToGrid w:val="0"/>
        <w:spacing w:after="0" w:line="360" w:lineRule="auto"/>
        <w:ind w:firstLine="480" w:firstLineChars="200"/>
        <w:rPr>
          <w:rFonts w:ascii="宋体" w:hAnsi="宋体" w:cs="宋体"/>
          <w:color w:val="auto"/>
          <w:sz w:val="24"/>
        </w:rPr>
      </w:pPr>
    </w:p>
    <w:p w14:paraId="36BD1437">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二、  招标文件</w:t>
      </w:r>
    </w:p>
    <w:p w14:paraId="0E2F258D">
      <w:pPr>
        <w:topLinePunct/>
        <w:autoSpaceDE w:val="0"/>
        <w:autoSpaceDN w:val="0"/>
        <w:adjustRightInd w:val="0"/>
        <w:snapToGrid w:val="0"/>
        <w:spacing w:after="0" w:line="360" w:lineRule="auto"/>
        <w:jc w:val="center"/>
        <w:rPr>
          <w:rFonts w:ascii="宋体" w:hAnsi="宋体" w:cs="宋体"/>
          <w:b/>
          <w:color w:val="auto"/>
          <w:sz w:val="24"/>
        </w:rPr>
      </w:pPr>
    </w:p>
    <w:p w14:paraId="608D39E0">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5.招标文件构成</w:t>
      </w:r>
    </w:p>
    <w:p w14:paraId="162E0821">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第一部分 商务部分</w:t>
      </w:r>
    </w:p>
    <w:p w14:paraId="2F32B45F">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（1）招标公告</w:t>
      </w:r>
    </w:p>
    <w:p w14:paraId="4CEF7E03">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（2）投标人须知</w:t>
      </w:r>
    </w:p>
    <w:p w14:paraId="79B80ACE">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（3）评标方法及标准</w:t>
      </w:r>
    </w:p>
    <w:p w14:paraId="052FAAD2">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（4）政府采购合同文本</w:t>
      </w:r>
    </w:p>
    <w:p w14:paraId="6087BEDF">
      <w:pPr>
        <w:topLinePunct/>
        <w:autoSpaceDE w:val="0"/>
        <w:autoSpaceDN w:val="0"/>
        <w:adjustRightInd w:val="0"/>
        <w:snapToGrid w:val="0"/>
        <w:spacing w:after="0" w:line="360" w:lineRule="auto"/>
        <w:ind w:left="359" w:leftChars="171" w:firstLine="120" w:firstLineChars="50"/>
        <w:rPr>
          <w:rFonts w:hint="eastAsia" w:ascii="宋体" w:hAnsi="宋体" w:eastAsia="宋体" w:cs="宋体"/>
          <w:color w:val="auto"/>
          <w:sz w:val="24"/>
          <w:highlight w:val="none"/>
          <w:lang w:eastAsia="zh-CN"/>
        </w:rPr>
      </w:pPr>
      <w:r>
        <w:rPr>
          <w:rFonts w:hint="eastAsia" w:ascii="宋体" w:hAnsi="宋体" w:cs="宋体"/>
          <w:color w:val="000000"/>
          <w:sz w:val="24"/>
          <w:highlight w:val="white"/>
        </w:rPr>
        <w:t>（5）投标文件格式</w:t>
      </w:r>
    </w:p>
    <w:p w14:paraId="2779E7A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第二部分 技术部分</w:t>
      </w:r>
    </w:p>
    <w:p w14:paraId="7B2DB273">
      <w:pPr>
        <w:topLinePunct/>
        <w:autoSpaceDE w:val="0"/>
        <w:autoSpaceDN w:val="0"/>
        <w:adjustRightInd w:val="0"/>
        <w:snapToGrid w:val="0"/>
        <w:spacing w:after="0" w:line="360" w:lineRule="auto"/>
        <w:ind w:firstLine="480" w:firstLineChars="200"/>
        <w:rPr>
          <w:rFonts w:ascii="宋体" w:hAnsi="宋体" w:cs="宋体"/>
          <w:color w:val="auto"/>
          <w:sz w:val="24"/>
        </w:rPr>
      </w:pPr>
    </w:p>
    <w:p w14:paraId="19CA045E">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000000"/>
          <w:sz w:val="24"/>
          <w:highlight w:val="white"/>
        </w:rPr>
        <w:t>6.招标文件询问、澄清或修改</w:t>
      </w:r>
    </w:p>
    <w:p w14:paraId="7292399E">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rPr>
      </w:pPr>
      <w:r>
        <w:rPr>
          <w:rFonts w:hint="eastAsia" w:ascii="宋体" w:hAnsi="宋体" w:cs="宋体"/>
          <w:color w:val="000000"/>
          <w:sz w:val="24"/>
          <w:highlight w:val="white"/>
        </w:rPr>
        <w:t>6.1 投标人对招标文件如有疑问的，可以向采购人提出询问，采购人应当在3个工作日内作出答复</w:t>
      </w:r>
      <w:r>
        <w:rPr>
          <w:rFonts w:hint="eastAsia" w:ascii="宋体" w:hAnsi="宋体" w:cs="宋体"/>
          <w:bCs/>
          <w:color w:val="000000"/>
          <w:sz w:val="24"/>
          <w:highlight w:val="white"/>
        </w:rPr>
        <w:t>，但答复的内容不得涉及商业秘密。</w:t>
      </w:r>
      <w:r>
        <w:rPr>
          <w:rFonts w:hint="eastAsia" w:ascii="宋体" w:hAnsi="宋体" w:cs="宋体"/>
          <w:color w:val="000000"/>
          <w:sz w:val="24"/>
          <w:highlight w:val="white"/>
        </w:rPr>
        <w:t>如有必要，采购人可对招标文件进行澄清或者修改。</w:t>
      </w:r>
    </w:p>
    <w:p w14:paraId="785E44D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6.2 采购人可主动对招标文件进行必要的澄清或者修改，但不得改变采购标的和资格条件。</w:t>
      </w:r>
    </w:p>
    <w:p w14:paraId="696387C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6.3 澄清或者修改应当在原公告发布媒体上发布更正公告，</w:t>
      </w:r>
      <w:r>
        <w:rPr>
          <w:rFonts w:hint="eastAsia" w:ascii="宋体" w:hAnsi="宋体"/>
          <w:color w:val="000000"/>
          <w:sz w:val="24"/>
          <w:highlight w:val="white"/>
        </w:rPr>
        <w:t>并通过国家税务总局政府采购评审管理系统（以下简称“评审管理系统”）通知所有获取</w:t>
      </w:r>
      <w:r>
        <w:rPr>
          <w:rFonts w:hint="eastAsia" w:ascii="宋体" w:hAnsi="宋体" w:cs="宋体"/>
          <w:color w:val="000000"/>
          <w:sz w:val="24"/>
          <w:highlight w:val="white"/>
        </w:rPr>
        <w:t>招标文件的潜在投标人。</w:t>
      </w:r>
    </w:p>
    <w:p w14:paraId="624B357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6.4 澄清或者修改的内容可能影响投标文件编制的，采购人应当在投标截止时间至少15日前，</w:t>
      </w:r>
      <w:r>
        <w:rPr>
          <w:rFonts w:hint="eastAsia" w:ascii="宋体" w:hAnsi="宋体"/>
          <w:color w:val="000000"/>
          <w:sz w:val="24"/>
          <w:highlight w:val="white"/>
        </w:rPr>
        <w:t>通过评审管理系统通知</w:t>
      </w:r>
      <w:r>
        <w:rPr>
          <w:rFonts w:hint="eastAsia" w:ascii="宋体" w:hAnsi="宋体" w:cs="宋体"/>
          <w:color w:val="000000"/>
          <w:sz w:val="24"/>
          <w:highlight w:val="white"/>
        </w:rPr>
        <w:t>所有获取招标文件的潜在投标人；不足15日的，采购人应当顺延提交投标文件的截止时间。</w:t>
      </w:r>
    </w:p>
    <w:p w14:paraId="45C3D50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6.5 澄清或者修改的内容为招标文件的组成部分。</w:t>
      </w:r>
    </w:p>
    <w:p w14:paraId="61DFF308">
      <w:pPr>
        <w:topLinePunct/>
        <w:autoSpaceDE w:val="0"/>
        <w:autoSpaceDN w:val="0"/>
        <w:adjustRightInd w:val="0"/>
        <w:snapToGrid w:val="0"/>
        <w:spacing w:after="0" w:line="360" w:lineRule="auto"/>
        <w:rPr>
          <w:rFonts w:ascii="宋体" w:hAnsi="宋体" w:cs="宋体"/>
          <w:color w:val="auto"/>
          <w:sz w:val="24"/>
        </w:rPr>
      </w:pPr>
    </w:p>
    <w:p w14:paraId="4D172A44">
      <w:pPr>
        <w:topLinePunct/>
        <w:autoSpaceDE w:val="0"/>
        <w:autoSpaceDN w:val="0"/>
        <w:adjustRightInd w:val="0"/>
        <w:snapToGrid w:val="0"/>
        <w:spacing w:after="0" w:line="360" w:lineRule="auto"/>
        <w:jc w:val="center"/>
        <w:rPr>
          <w:rFonts w:ascii="宋体" w:hAnsi="宋体" w:cs="宋体"/>
          <w:b/>
          <w:color w:val="auto"/>
          <w:sz w:val="24"/>
        </w:rPr>
      </w:pPr>
      <w:r>
        <w:rPr>
          <w:rFonts w:hint="eastAsia" w:ascii="宋体" w:hAnsi="宋体" w:cs="宋体"/>
          <w:b/>
          <w:bCs/>
          <w:color w:val="000000"/>
          <w:sz w:val="32"/>
          <w:szCs w:val="32"/>
          <w:highlight w:val="white"/>
        </w:rPr>
        <w:t>三、投标文件</w:t>
      </w:r>
    </w:p>
    <w:p w14:paraId="15FA5748">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7</w:t>
      </w:r>
      <w:r>
        <w:rPr>
          <w:rFonts w:hint="eastAsia" w:ascii="宋体" w:hAnsi="宋体" w:cs="宋体"/>
          <w:color w:val="000000"/>
          <w:szCs w:val="21"/>
          <w:highlight w:val="white"/>
        </w:rPr>
        <w:t>．</w:t>
      </w:r>
      <w:r>
        <w:rPr>
          <w:rFonts w:hint="eastAsia" w:ascii="宋体" w:hAnsi="宋体" w:cs="宋体"/>
          <w:b/>
          <w:color w:val="000000"/>
          <w:sz w:val="24"/>
          <w:highlight w:val="white"/>
        </w:rPr>
        <w:t>投标文件编制</w:t>
      </w:r>
    </w:p>
    <w:p w14:paraId="70D6A16F">
      <w:pPr>
        <w:topLinePunct/>
        <w:autoSpaceDE w:val="0"/>
        <w:autoSpaceDN w:val="0"/>
        <w:adjustRightInd w:val="0"/>
        <w:snapToGrid w:val="0"/>
        <w:spacing w:after="0" w:line="360" w:lineRule="auto"/>
        <w:ind w:firstLine="480" w:firstLineChars="200"/>
        <w:rPr>
          <w:rFonts w:ascii="宋体" w:hAnsi="宋体" w:eastAsia="Times New Roman" w:cs="宋体"/>
          <w:color w:val="auto"/>
          <w:sz w:val="24"/>
        </w:rPr>
      </w:pPr>
      <w:r>
        <w:rPr>
          <w:rFonts w:hint="eastAsia" w:ascii="宋体" w:hAnsi="宋体" w:cs="宋体"/>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14:paraId="39F3661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7.2 投标文件应使用中文简化字。</w:t>
      </w:r>
    </w:p>
    <w:p w14:paraId="014BF29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14:paraId="756FB14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7.4 除在招标文件的要求中另有规定外，投标文件计量单位应使用中华人民共和国法定计量单位。</w:t>
      </w:r>
    </w:p>
    <w:p w14:paraId="75C96192">
      <w:pPr>
        <w:topLinePunct/>
        <w:autoSpaceDE w:val="0"/>
        <w:autoSpaceDN w:val="0"/>
        <w:adjustRightInd w:val="0"/>
        <w:snapToGrid w:val="0"/>
        <w:spacing w:after="0" w:line="360" w:lineRule="auto"/>
        <w:rPr>
          <w:rFonts w:ascii="宋体" w:hAnsi="宋体" w:cs="宋体"/>
          <w:b/>
          <w:color w:val="auto"/>
          <w:sz w:val="24"/>
        </w:rPr>
      </w:pPr>
    </w:p>
    <w:p w14:paraId="6587F845">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8.投标文件的组成</w:t>
      </w:r>
    </w:p>
    <w:p w14:paraId="3B2CA32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8.1 投标文件包括商务部分和技术部分。</w:t>
      </w:r>
    </w:p>
    <w:p w14:paraId="0CDE699C">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000000"/>
          <w:sz w:val="24"/>
          <w:highlight w:val="white"/>
        </w:rPr>
        <w:t>8.2 投标文件</w:t>
      </w:r>
      <w:r>
        <w:rPr>
          <w:rFonts w:hint="eastAsia" w:ascii="宋体" w:hAnsi="宋体" w:cs="宋体"/>
          <w:b/>
          <w:bCs/>
          <w:color w:val="000000"/>
          <w:sz w:val="24"/>
          <w:highlight w:val="white"/>
        </w:rPr>
        <w:t>商务部分</w:t>
      </w:r>
      <w:r>
        <w:rPr>
          <w:rFonts w:hint="eastAsia" w:ascii="宋体" w:hAnsi="宋体" w:cs="宋体"/>
          <w:color w:val="000000"/>
          <w:sz w:val="24"/>
          <w:highlight w:val="white"/>
        </w:rPr>
        <w:t>主要包括的文件和资料：</w:t>
      </w:r>
    </w:p>
    <w:p w14:paraId="64D66C33">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000000"/>
          <w:sz w:val="24"/>
          <w:highlight w:val="white"/>
        </w:rPr>
        <w:t>8.2.1 资格证明文件，见</w:t>
      </w:r>
      <w:r>
        <w:rPr>
          <w:rFonts w:hint="eastAsia" w:ascii="宋体" w:hAnsi="宋体" w:cs="宋体"/>
          <w:b/>
          <w:color w:val="000000"/>
          <w:sz w:val="24"/>
          <w:highlight w:val="white"/>
        </w:rPr>
        <w:t>投标人须知前附表。</w:t>
      </w:r>
    </w:p>
    <w:p w14:paraId="41B5E08A">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8.2.2 其他文件及资料，见</w:t>
      </w:r>
      <w:r>
        <w:rPr>
          <w:rFonts w:hint="eastAsia" w:ascii="宋体" w:hAnsi="宋体" w:cs="宋体"/>
          <w:b/>
          <w:color w:val="000000"/>
          <w:sz w:val="24"/>
          <w:highlight w:val="white"/>
        </w:rPr>
        <w:t>投标人须知前附表。</w:t>
      </w:r>
    </w:p>
    <w:p w14:paraId="7E62C6FD">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8.3 投标文件</w:t>
      </w:r>
      <w:r>
        <w:rPr>
          <w:rFonts w:hint="eastAsia" w:ascii="宋体" w:hAnsi="宋体" w:cs="宋体"/>
          <w:b/>
          <w:bCs/>
          <w:color w:val="000000"/>
          <w:sz w:val="24"/>
          <w:highlight w:val="white"/>
        </w:rPr>
        <w:t>技术部分</w:t>
      </w:r>
      <w:r>
        <w:rPr>
          <w:rFonts w:hint="eastAsia" w:ascii="宋体" w:hAnsi="宋体" w:cs="宋体"/>
          <w:color w:val="000000"/>
          <w:sz w:val="24"/>
          <w:highlight w:val="white"/>
        </w:rPr>
        <w:t>主要包括的文件及资料，见</w:t>
      </w:r>
      <w:r>
        <w:rPr>
          <w:rFonts w:hint="eastAsia" w:ascii="宋体" w:hAnsi="宋体" w:cs="宋体"/>
          <w:b/>
          <w:color w:val="000000"/>
          <w:sz w:val="24"/>
          <w:highlight w:val="white"/>
        </w:rPr>
        <w:t>投标人须知前附表。</w:t>
      </w:r>
    </w:p>
    <w:p w14:paraId="3F07AB91">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8.4 证明资料如标明有效期的，必须在有效期内。</w:t>
      </w:r>
    </w:p>
    <w:p w14:paraId="76ABAE7D">
      <w:pPr>
        <w:overflowPunct w:val="0"/>
        <w:autoSpaceDE w:val="0"/>
        <w:autoSpaceDN w:val="0"/>
        <w:adjustRightInd w:val="0"/>
        <w:snapToGrid w:val="0"/>
        <w:spacing w:after="0" w:line="360" w:lineRule="auto"/>
        <w:ind w:firstLine="489" w:firstLineChars="203"/>
        <w:rPr>
          <w:rFonts w:ascii="宋体" w:hAnsi="宋体" w:cs="宋体"/>
          <w:b/>
          <w:color w:val="auto"/>
          <w:sz w:val="24"/>
        </w:rPr>
      </w:pPr>
    </w:p>
    <w:p w14:paraId="667E95E2">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9.报价要求</w:t>
      </w:r>
    </w:p>
    <w:p w14:paraId="28A8406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9.1 投标应以人民币报价，且必须按照投标工具的流程和提示编制并上传投标报价表。</w:t>
      </w:r>
    </w:p>
    <w:p w14:paraId="6E724CC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9.2 本项目不接受任何形式的赠送、“零”报价和折扣报价。</w:t>
      </w:r>
    </w:p>
    <w:p w14:paraId="3212805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9.3 本项目以投标报价为依据计算价格分。投标报价应包括招标文件中要求投标人承担所有工作内容的全部费用。</w:t>
      </w:r>
    </w:p>
    <w:p w14:paraId="52FEAD0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7D90D5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9.5 最低报价不能作为中标的保证。</w:t>
      </w:r>
    </w:p>
    <w:p w14:paraId="4C048425">
      <w:pPr>
        <w:topLinePunct/>
        <w:autoSpaceDE w:val="0"/>
        <w:autoSpaceDN w:val="0"/>
        <w:adjustRightInd w:val="0"/>
        <w:snapToGrid w:val="0"/>
        <w:spacing w:after="0" w:line="360" w:lineRule="auto"/>
        <w:ind w:firstLine="480" w:firstLineChars="200"/>
        <w:rPr>
          <w:rFonts w:ascii="宋体" w:hAnsi="宋体" w:cs="宋体"/>
          <w:color w:val="auto"/>
          <w:sz w:val="24"/>
        </w:rPr>
      </w:pPr>
    </w:p>
    <w:p w14:paraId="7C193452">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10.投标文件的签署、盖章</w:t>
      </w:r>
    </w:p>
    <w:p w14:paraId="17E4241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10.1 投标文件</w:t>
      </w:r>
      <w:r>
        <w:rPr>
          <w:rFonts w:hint="eastAsia" w:ascii="宋体" w:hAnsi="宋体"/>
          <w:color w:val="000000"/>
          <w:sz w:val="24"/>
          <w:highlight w:val="white"/>
        </w:rPr>
        <w:t>必须按照招标文件给出文件格式的签署要求进行</w:t>
      </w:r>
      <w:r>
        <w:rPr>
          <w:rFonts w:hint="eastAsia" w:ascii="宋体" w:hAnsi="宋体"/>
          <w:b/>
          <w:color w:val="000000"/>
          <w:sz w:val="24"/>
          <w:highlight w:val="white"/>
        </w:rPr>
        <w:t>电子</w:t>
      </w:r>
      <w:r>
        <w:rPr>
          <w:rFonts w:hint="eastAsia" w:ascii="宋体" w:hAnsi="宋体"/>
          <w:color w:val="000000"/>
          <w:sz w:val="24"/>
          <w:highlight w:val="white"/>
        </w:rPr>
        <w:t>签署。</w:t>
      </w:r>
    </w:p>
    <w:p w14:paraId="3295B0C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10.2 投标人在</w:t>
      </w:r>
      <w:r>
        <w:rPr>
          <w:rFonts w:hint="eastAsia" w:ascii="宋体" w:hAnsi="宋体" w:cs="宋体"/>
          <w:b/>
          <w:bCs/>
          <w:color w:val="000000"/>
          <w:sz w:val="24"/>
          <w:highlight w:val="white"/>
        </w:rPr>
        <w:t>“投标函”“法定代表人授权委托书”</w:t>
      </w:r>
      <w:r>
        <w:rPr>
          <w:rFonts w:hint="eastAsia" w:ascii="宋体" w:hAnsi="宋体" w:cs="宋体"/>
          <w:color w:val="000000"/>
          <w:sz w:val="24"/>
          <w:highlight w:val="white"/>
        </w:rPr>
        <w:t>上应当按格式要求加盖与投标人名称全称一致的标准公章，并</w:t>
      </w:r>
      <w:r>
        <w:rPr>
          <w:rFonts w:hint="eastAsia" w:ascii="宋体" w:hAnsi="宋体" w:cs="宋体"/>
          <w:color w:val="000000"/>
          <w:sz w:val="24"/>
          <w:highlight w:val="white"/>
          <w:lang w:eastAsia="zh-CN"/>
        </w:rPr>
        <w:t>按照招标文件第五章投标文件格式中的相应格式文件要求</w:t>
      </w:r>
      <w:r>
        <w:rPr>
          <w:rFonts w:hint="eastAsia" w:ascii="宋体" w:hAnsi="宋体" w:cs="宋体"/>
          <w:color w:val="000000"/>
          <w:sz w:val="24"/>
          <w:highlight w:val="white"/>
        </w:rPr>
        <w:t>签署全名或加盖名章。</w:t>
      </w:r>
    </w:p>
    <w:p w14:paraId="579278F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10.3 投标文件中的“盖章”指加盖投标人的“公章”，而非“合同专用章”、“投标专用章”等其他非公章。</w:t>
      </w:r>
    </w:p>
    <w:p w14:paraId="4CAF9EF7">
      <w:pPr>
        <w:topLinePunct/>
        <w:autoSpaceDE w:val="0"/>
        <w:autoSpaceDN w:val="0"/>
        <w:adjustRightInd w:val="0"/>
        <w:snapToGrid w:val="0"/>
        <w:spacing w:after="0" w:line="360" w:lineRule="auto"/>
        <w:ind w:firstLine="489" w:firstLineChars="204"/>
        <w:rPr>
          <w:rFonts w:ascii="宋体" w:hAnsi="宋体" w:cs="宋体"/>
          <w:color w:val="auto"/>
          <w:sz w:val="24"/>
        </w:rPr>
      </w:pPr>
    </w:p>
    <w:p w14:paraId="685F3466">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11</w:t>
      </w:r>
      <w:r>
        <w:rPr>
          <w:rFonts w:hint="eastAsia" w:ascii="宋体" w:hAnsi="宋体" w:cs="宋体"/>
          <w:color w:val="000000"/>
          <w:szCs w:val="21"/>
          <w:highlight w:val="white"/>
        </w:rPr>
        <w:t>．</w:t>
      </w:r>
      <w:r>
        <w:rPr>
          <w:rFonts w:hint="eastAsia" w:ascii="宋体" w:hAnsi="宋体" w:cs="宋体"/>
          <w:b/>
          <w:color w:val="000000"/>
          <w:sz w:val="24"/>
          <w:highlight w:val="white"/>
        </w:rPr>
        <w:t>投标有效期</w:t>
      </w:r>
    </w:p>
    <w:p w14:paraId="7468568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11.1 投标有效期见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14:paraId="7D1F36F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11.2 特殊情况下，在原投标有效期期满之前，采购人可征得投标人同意延长投标有效期。</w:t>
      </w:r>
    </w:p>
    <w:p w14:paraId="0C1501C2">
      <w:pPr>
        <w:topLinePunct/>
        <w:autoSpaceDE w:val="0"/>
        <w:autoSpaceDN w:val="0"/>
        <w:adjustRightInd w:val="0"/>
        <w:snapToGrid w:val="0"/>
        <w:spacing w:after="0" w:line="360" w:lineRule="auto"/>
        <w:jc w:val="center"/>
        <w:rPr>
          <w:rFonts w:ascii="宋体" w:hAnsi="宋体" w:cs="宋体"/>
          <w:b/>
          <w:color w:val="auto"/>
          <w:sz w:val="24"/>
        </w:rPr>
      </w:pPr>
    </w:p>
    <w:p w14:paraId="4DB67C68">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四、投标文件递交</w:t>
      </w:r>
    </w:p>
    <w:p w14:paraId="597E03BD">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12</w:t>
      </w:r>
      <w:r>
        <w:rPr>
          <w:rFonts w:hint="eastAsia" w:ascii="宋体" w:hAnsi="宋体" w:cs="宋体"/>
          <w:color w:val="000000"/>
          <w:szCs w:val="21"/>
          <w:highlight w:val="white"/>
        </w:rPr>
        <w:t>．</w:t>
      </w:r>
      <w:r>
        <w:rPr>
          <w:rFonts w:hint="eastAsia" w:ascii="宋体" w:hAnsi="宋体" w:cs="宋体"/>
          <w:b/>
          <w:color w:val="000000"/>
          <w:sz w:val="24"/>
          <w:highlight w:val="white"/>
        </w:rPr>
        <w:t>投标文件递交</w:t>
      </w:r>
    </w:p>
    <w:p w14:paraId="14793E2D">
      <w:pPr>
        <w:topLinePunct/>
        <w:autoSpaceDE w:val="0"/>
        <w:autoSpaceDN w:val="0"/>
        <w:adjustRightInd w:val="0"/>
        <w:snapToGrid w:val="0"/>
        <w:spacing w:after="0" w:line="360" w:lineRule="auto"/>
        <w:ind w:firstLine="480" w:firstLineChars="200"/>
        <w:rPr>
          <w:rFonts w:hint="eastAsia" w:ascii="宋体" w:hAnsi="宋体" w:eastAsia="宋体" w:cs="宋体"/>
          <w:color w:val="auto"/>
          <w:sz w:val="24"/>
          <w:lang w:eastAsia="zh-CN"/>
        </w:rPr>
      </w:pPr>
      <w:r>
        <w:rPr>
          <w:rFonts w:hint="eastAsia" w:ascii="宋体" w:hAnsi="宋体" w:cs="宋体"/>
          <w:color w:val="000000"/>
          <w:sz w:val="24"/>
          <w:highlight w:val="white"/>
        </w:rPr>
        <w:t>12.1 投标人应当在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hint="eastAsia" w:ascii="宋体" w:hAnsi="宋体" w:cs="宋体"/>
          <w:color w:val="000000"/>
          <w:sz w:val="24"/>
          <w:highlight w:val="white"/>
          <w:lang w:eastAsia="zh-CN"/>
        </w:rPr>
        <w:t>投标人应充分考虑网络传输时间等因素，合理安排上传时间。</w:t>
      </w:r>
    </w:p>
    <w:p w14:paraId="2ED0A2F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12.2 提交投标文件截止时间后，评审管理系统不提供投标文件上传功能。投标人未完成投标文件上传的，投标将被拒绝。</w:t>
      </w:r>
    </w:p>
    <w:p w14:paraId="41A3633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　　</w:t>
      </w:r>
    </w:p>
    <w:p w14:paraId="314D093C">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13</w:t>
      </w:r>
      <w:r>
        <w:rPr>
          <w:rFonts w:hint="eastAsia" w:ascii="宋体" w:hAnsi="宋体" w:cs="宋体"/>
          <w:color w:val="000000"/>
          <w:szCs w:val="21"/>
          <w:highlight w:val="white"/>
        </w:rPr>
        <w:t>．</w:t>
      </w:r>
      <w:r>
        <w:rPr>
          <w:rFonts w:hint="eastAsia" w:ascii="宋体" w:hAnsi="宋体" w:cs="宋体"/>
          <w:b/>
          <w:color w:val="000000"/>
          <w:sz w:val="24"/>
          <w:highlight w:val="white"/>
        </w:rPr>
        <w:t>投标文件补充、修改或撤回</w:t>
      </w:r>
    </w:p>
    <w:p w14:paraId="166650F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13.1 投标人在投标截止时间前，可以登录评审管理系统对所提交的投标文件进行撤回、补充、修改、重新提交</w:t>
      </w:r>
      <w:r>
        <w:rPr>
          <w:rFonts w:hint="eastAsia" w:ascii="宋体" w:hAnsi="宋体"/>
          <w:color w:val="000000"/>
          <w:sz w:val="24"/>
          <w:highlight w:val="white"/>
        </w:rPr>
        <w:t>。</w:t>
      </w:r>
      <w:r>
        <w:rPr>
          <w:rFonts w:hint="eastAsia" w:ascii="宋体" w:hAnsi="宋体" w:cs="宋体"/>
          <w:color w:val="000000"/>
          <w:sz w:val="24"/>
          <w:highlight w:val="white"/>
        </w:rPr>
        <w:t>补充、修改的内容应当按照招标文件要求签署、盖章。</w:t>
      </w:r>
    </w:p>
    <w:p w14:paraId="69D733A5">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000000"/>
          <w:sz w:val="24"/>
          <w:highlight w:val="white"/>
        </w:rPr>
        <w:t>13.2 提交投标文件截止时间后，评审管理系统不</w:t>
      </w:r>
      <w:r>
        <w:rPr>
          <w:rFonts w:hint="eastAsia" w:ascii="宋体" w:hAnsi="宋体" w:cs="宋体"/>
          <w:color w:val="000000"/>
          <w:sz w:val="24"/>
          <w:highlight w:val="white"/>
          <w:lang w:eastAsia="zh-CN"/>
        </w:rPr>
        <w:t>支持</w:t>
      </w:r>
      <w:r>
        <w:rPr>
          <w:rFonts w:hint="eastAsia" w:ascii="宋体" w:hAnsi="宋体" w:cs="宋体"/>
          <w:color w:val="000000"/>
          <w:sz w:val="24"/>
          <w:highlight w:val="white"/>
        </w:rPr>
        <w:t>对已提交的投标文件作任何补充、修改或者撤回。</w:t>
      </w:r>
    </w:p>
    <w:p w14:paraId="32B7E92C">
      <w:pPr>
        <w:topLinePunct/>
        <w:autoSpaceDE w:val="0"/>
        <w:autoSpaceDN w:val="0"/>
        <w:adjustRightInd w:val="0"/>
        <w:snapToGrid w:val="0"/>
        <w:spacing w:after="0" w:line="360" w:lineRule="auto"/>
        <w:ind w:firstLine="480" w:firstLineChars="200"/>
        <w:rPr>
          <w:rFonts w:ascii="宋体" w:hAnsi="宋体" w:cs="宋体"/>
          <w:color w:val="auto"/>
          <w:sz w:val="24"/>
        </w:rPr>
      </w:pPr>
    </w:p>
    <w:p w14:paraId="7944095E">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五、开标与评标</w:t>
      </w:r>
    </w:p>
    <w:p w14:paraId="14A42597">
      <w:pPr>
        <w:topLinePunct/>
        <w:autoSpaceDE w:val="0"/>
        <w:autoSpaceDN w:val="0"/>
        <w:adjustRightInd w:val="0"/>
        <w:snapToGrid w:val="0"/>
        <w:spacing w:after="0" w:line="360" w:lineRule="auto"/>
        <w:ind w:firstLine="482" w:firstLineChars="200"/>
        <w:rPr>
          <w:rFonts w:ascii="宋体" w:hAnsi="宋体" w:cs="宋体"/>
          <w:color w:val="auto"/>
          <w:sz w:val="24"/>
        </w:rPr>
      </w:pPr>
      <w:r>
        <w:rPr>
          <w:rFonts w:hint="eastAsia" w:ascii="宋体" w:hAnsi="宋体" w:cs="宋体"/>
          <w:b/>
          <w:color w:val="000000"/>
          <w:sz w:val="24"/>
          <w:highlight w:val="white"/>
        </w:rPr>
        <w:t>14</w:t>
      </w:r>
      <w:r>
        <w:rPr>
          <w:rFonts w:hint="eastAsia" w:ascii="宋体" w:hAnsi="宋体" w:cs="宋体"/>
          <w:color w:val="000000"/>
          <w:szCs w:val="21"/>
          <w:highlight w:val="white"/>
        </w:rPr>
        <w:t>．</w:t>
      </w:r>
      <w:r>
        <w:rPr>
          <w:rFonts w:hint="eastAsia" w:ascii="宋体" w:hAnsi="宋体" w:cs="宋体"/>
          <w:b/>
          <w:color w:val="000000"/>
          <w:sz w:val="24"/>
          <w:highlight w:val="white"/>
        </w:rPr>
        <w:t>开标</w:t>
      </w:r>
    </w:p>
    <w:p w14:paraId="33FF7D1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14.1 采购人将在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规定的时间进行电子开标，采购人将对开标、评标现场活动进行全程录音录像，音像资料作为采购文件一并存档。开标由采购人主持，投标人通过登录评审管理系统进入开标大厅远程参加。</w:t>
      </w:r>
    </w:p>
    <w:p w14:paraId="4432BDA4">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 xml:space="preserve">14.2 </w:t>
      </w:r>
      <w:r>
        <w:rPr>
          <w:rFonts w:hint="eastAsia" w:ascii="宋体" w:hAnsi="宋体"/>
          <w:color w:val="000000"/>
          <w:sz w:val="24"/>
          <w:highlight w:val="white"/>
        </w:rPr>
        <w:t>提交投标文件截止时间后进入解密程序，由采购人对所有完成投递的电子投标文件进行解密。</w:t>
      </w:r>
      <w:r>
        <w:rPr>
          <w:rFonts w:hint="eastAsia" w:ascii="宋体" w:hAnsi="宋体" w:cs="宋体"/>
          <w:color w:val="000000"/>
          <w:sz w:val="24"/>
          <w:highlight w:val="white"/>
        </w:rPr>
        <w:t>投标人不足3家的，不进入解密程序。</w:t>
      </w:r>
    </w:p>
    <w:p w14:paraId="5359BB9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14.3 解密完成后，进行电子</w:t>
      </w:r>
      <w:r>
        <w:rPr>
          <w:rFonts w:hint="eastAsia" w:ascii="宋体" w:hAnsi="宋体" w:cs="宋体"/>
          <w:color w:val="000000"/>
          <w:sz w:val="24"/>
          <w:highlight w:val="white"/>
          <w:lang w:eastAsia="zh-CN"/>
        </w:rPr>
        <w:t>开</w:t>
      </w:r>
      <w:r>
        <w:rPr>
          <w:rFonts w:hint="eastAsia" w:ascii="宋体" w:hAnsi="宋体" w:cs="宋体"/>
          <w:color w:val="000000"/>
          <w:sz w:val="24"/>
          <w:highlight w:val="white"/>
        </w:rPr>
        <w:t>标。</w:t>
      </w:r>
      <w:r>
        <w:rPr>
          <w:rFonts w:hint="eastAsia" w:ascii="宋体" w:hAnsi="宋体" w:cs="宋体"/>
          <w:color w:val="000000"/>
          <w:sz w:val="24"/>
          <w:highlight w:val="white"/>
          <w:lang w:eastAsia="zh-CN"/>
        </w:rPr>
        <w:t>开标</w:t>
      </w:r>
      <w:r>
        <w:rPr>
          <w:rFonts w:hint="eastAsia" w:ascii="宋体" w:hAnsi="宋体" w:cs="宋体"/>
          <w:color w:val="000000"/>
          <w:sz w:val="24"/>
          <w:highlight w:val="white"/>
        </w:rPr>
        <w:t>结束后，采购人发起开标结果确认，</w:t>
      </w:r>
      <w:r>
        <w:rPr>
          <w:rFonts w:hint="eastAsia" w:ascii="宋体" w:hAnsi="宋体"/>
          <w:color w:val="000000"/>
          <w:sz w:val="24"/>
          <w:highlight w:val="white"/>
        </w:rPr>
        <w:t>投标人在开标大厅于规定时间内确认开标结果，未</w:t>
      </w:r>
      <w:r>
        <w:rPr>
          <w:rFonts w:hint="eastAsia" w:ascii="宋体" w:hAnsi="宋体"/>
          <w:color w:val="000000"/>
          <w:sz w:val="24"/>
          <w:highlight w:val="white"/>
          <w:lang w:eastAsia="zh-CN"/>
        </w:rPr>
        <w:t>按时</w:t>
      </w:r>
      <w:r>
        <w:rPr>
          <w:rFonts w:hint="eastAsia" w:ascii="宋体" w:hAnsi="宋体"/>
          <w:color w:val="000000"/>
          <w:sz w:val="24"/>
          <w:highlight w:val="white"/>
        </w:rPr>
        <w:t>确认的系统将自动确认。</w:t>
      </w:r>
    </w:p>
    <w:p w14:paraId="1079EAD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14.4 投标人未参加开标的，视同认可开标结果。</w:t>
      </w:r>
    </w:p>
    <w:p w14:paraId="3857CA0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14:paraId="3CD1ED0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14.6 未解密或解密失败的</w:t>
      </w:r>
      <w:r>
        <w:rPr>
          <w:rFonts w:hint="eastAsia" w:ascii="宋体" w:hAnsi="宋体" w:cs="宋体"/>
          <w:color w:val="000000"/>
          <w:sz w:val="24"/>
          <w:highlight w:val="white"/>
          <w:lang w:eastAsia="zh-CN"/>
        </w:rPr>
        <w:t>投标文件，</w:t>
      </w:r>
      <w:r>
        <w:rPr>
          <w:rFonts w:hint="eastAsia" w:ascii="宋体" w:hAnsi="宋体" w:cs="宋体"/>
          <w:color w:val="000000"/>
          <w:sz w:val="24"/>
          <w:highlight w:val="white"/>
        </w:rPr>
        <w:t>按无效投标处理。若解密成功的投标人不足3家，不进入后续程序。</w:t>
      </w:r>
    </w:p>
    <w:p w14:paraId="6F060C2F">
      <w:pPr>
        <w:topLinePunct/>
        <w:autoSpaceDE w:val="0"/>
        <w:autoSpaceDN w:val="0"/>
        <w:adjustRightInd w:val="0"/>
        <w:snapToGrid w:val="0"/>
        <w:spacing w:after="0" w:line="360" w:lineRule="auto"/>
        <w:ind w:firstLine="480" w:firstLineChars="200"/>
        <w:rPr>
          <w:rFonts w:ascii="宋体" w:hAnsi="宋体" w:cs="宋体"/>
          <w:color w:val="auto"/>
          <w:sz w:val="24"/>
        </w:rPr>
      </w:pPr>
    </w:p>
    <w:p w14:paraId="3D7C8AC9">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15</w:t>
      </w:r>
      <w:r>
        <w:rPr>
          <w:rFonts w:hint="eastAsia" w:ascii="宋体" w:hAnsi="宋体" w:cs="宋体"/>
          <w:color w:val="000000"/>
          <w:szCs w:val="21"/>
          <w:highlight w:val="white"/>
        </w:rPr>
        <w:t>．</w:t>
      </w:r>
      <w:r>
        <w:rPr>
          <w:rFonts w:hint="eastAsia" w:ascii="宋体" w:hAnsi="宋体" w:cs="宋体"/>
          <w:b/>
          <w:color w:val="000000"/>
          <w:sz w:val="24"/>
          <w:highlight w:val="white"/>
        </w:rPr>
        <w:t>投标资格审查</w:t>
      </w:r>
    </w:p>
    <w:p w14:paraId="33B738E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15.1 采购人依法对投标人的资格进行审查，以确定投标人是否具备投标资格。</w:t>
      </w:r>
    </w:p>
    <w:p w14:paraId="37BBA26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15.1.1 审查投标人按照</w:t>
      </w:r>
      <w:r>
        <w:rPr>
          <w:rFonts w:hint="eastAsia" w:ascii="宋体" w:hAnsi="宋体" w:cs="宋体"/>
          <w:color w:val="000000"/>
          <w:sz w:val="24"/>
          <w:highlight w:val="white"/>
          <w:lang w:val="en-US" w:eastAsia="zh-CN"/>
        </w:rPr>
        <w:t>8.2.1</w:t>
      </w:r>
      <w:r>
        <w:rPr>
          <w:rFonts w:hint="eastAsia" w:ascii="宋体" w:hAnsi="宋体" w:cs="宋体"/>
          <w:color w:val="000000"/>
          <w:sz w:val="24"/>
          <w:highlight w:val="white"/>
        </w:rPr>
        <w:t>提交的</w:t>
      </w:r>
      <w:r>
        <w:rPr>
          <w:rFonts w:hint="eastAsia" w:ascii="宋体" w:hAnsi="宋体" w:cs="宋体"/>
          <w:b/>
          <w:color w:val="000000"/>
          <w:sz w:val="24"/>
          <w:highlight w:val="white"/>
        </w:rPr>
        <w:t>“资格证明文件”</w:t>
      </w:r>
      <w:r>
        <w:rPr>
          <w:rFonts w:hint="eastAsia" w:ascii="宋体" w:hAnsi="宋体" w:cs="宋体"/>
          <w:color w:val="000000"/>
          <w:sz w:val="24"/>
          <w:highlight w:val="white"/>
        </w:rPr>
        <w:t>。</w:t>
      </w:r>
    </w:p>
    <w:p w14:paraId="53D9E7C8">
      <w:pPr>
        <w:topLinePunct/>
        <w:autoSpaceDE w:val="0"/>
        <w:autoSpaceDN w:val="0"/>
        <w:adjustRightInd w:val="0"/>
        <w:snapToGrid w:val="0"/>
        <w:spacing w:after="0" w:line="360" w:lineRule="auto"/>
        <w:ind w:firstLine="480" w:firstLineChars="200"/>
        <w:rPr>
          <w:rFonts w:ascii="宋体" w:hAnsi="宋体" w:cs="宋体"/>
          <w:b/>
          <w:bCs/>
          <w:color w:val="auto"/>
          <w:sz w:val="24"/>
        </w:rPr>
      </w:pPr>
      <w:r>
        <w:rPr>
          <w:rFonts w:hint="eastAsia" w:ascii="宋体" w:hAnsi="宋体" w:cs="宋体"/>
          <w:color w:val="000000"/>
          <w:sz w:val="24"/>
          <w:highlight w:val="white"/>
        </w:rPr>
        <w:t>15.1.2 信用记录审查。</w:t>
      </w:r>
      <w:r>
        <w:rPr>
          <w:rFonts w:hint="eastAsia" w:ascii="宋体" w:hAnsi="宋体" w:cs="宋体"/>
          <w:b/>
          <w:bCs/>
          <w:color w:val="000000"/>
          <w:sz w:val="24"/>
          <w:highlight w:val="white"/>
        </w:rPr>
        <w:t>见投标人须知前附表。</w:t>
      </w:r>
    </w:p>
    <w:p w14:paraId="3E6F8A3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15.2 未通过资格审查的投标人，其投标无效。</w:t>
      </w:r>
    </w:p>
    <w:p w14:paraId="2EA190E4">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15.3 合格投标人不足3家的，不得评标。</w:t>
      </w:r>
    </w:p>
    <w:p w14:paraId="2E1F612E">
      <w:pPr>
        <w:topLinePunct/>
        <w:autoSpaceDE w:val="0"/>
        <w:autoSpaceDN w:val="0"/>
        <w:adjustRightInd w:val="0"/>
        <w:snapToGrid w:val="0"/>
        <w:spacing w:after="0" w:line="360" w:lineRule="auto"/>
        <w:ind w:firstLine="480"/>
        <w:rPr>
          <w:rFonts w:ascii="宋体" w:hAnsi="宋体" w:cs="宋体"/>
          <w:b/>
          <w:color w:val="auto"/>
          <w:sz w:val="24"/>
        </w:rPr>
      </w:pPr>
    </w:p>
    <w:p w14:paraId="4FECF1AA">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16</w:t>
      </w:r>
      <w:r>
        <w:rPr>
          <w:rFonts w:hint="eastAsia" w:ascii="宋体" w:hAnsi="宋体" w:cs="宋体"/>
          <w:color w:val="000000"/>
          <w:szCs w:val="21"/>
          <w:highlight w:val="white"/>
        </w:rPr>
        <w:t>．</w:t>
      </w:r>
      <w:r>
        <w:rPr>
          <w:rFonts w:hint="eastAsia" w:ascii="宋体" w:hAnsi="宋体" w:cs="宋体"/>
          <w:b/>
          <w:color w:val="000000"/>
          <w:sz w:val="24"/>
          <w:highlight w:val="white"/>
        </w:rPr>
        <w:t>评标委员会的组成</w:t>
      </w:r>
    </w:p>
    <w:p w14:paraId="345E1C2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16.1 根据有关法律法规规定组建评标委员会，评标委员会由采购人代表和评审专家组成。</w:t>
      </w:r>
    </w:p>
    <w:p w14:paraId="3B596ED2">
      <w:pPr>
        <w:topLinePunct/>
        <w:autoSpaceDE w:val="0"/>
        <w:autoSpaceDN w:val="0"/>
        <w:adjustRightInd w:val="0"/>
        <w:snapToGrid w:val="0"/>
        <w:spacing w:after="0" w:line="360" w:lineRule="auto"/>
        <w:ind w:firstLine="480"/>
        <w:rPr>
          <w:rFonts w:ascii="宋体" w:hAnsi="宋体" w:cs="宋体"/>
          <w:b/>
          <w:color w:val="auto"/>
          <w:sz w:val="24"/>
        </w:rPr>
      </w:pPr>
    </w:p>
    <w:p w14:paraId="5DAD43AD">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17</w:t>
      </w:r>
      <w:r>
        <w:rPr>
          <w:rFonts w:hint="eastAsia" w:ascii="宋体" w:hAnsi="宋体" w:cs="宋体"/>
          <w:color w:val="000000"/>
          <w:szCs w:val="21"/>
          <w:highlight w:val="white"/>
        </w:rPr>
        <w:t>．</w:t>
      </w:r>
      <w:r>
        <w:rPr>
          <w:rFonts w:hint="eastAsia" w:ascii="宋体" w:hAnsi="宋体" w:cs="宋体"/>
          <w:b/>
          <w:color w:val="000000"/>
          <w:sz w:val="24"/>
          <w:highlight w:val="white"/>
        </w:rPr>
        <w:t>投标符合性审查</w:t>
      </w:r>
    </w:p>
    <w:p w14:paraId="5F68840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17.1 评标委员会对符合资格的投标人的投标文件进行符合性审查，以确定其是否符合招标文件的商务、技术等实质性要求。</w:t>
      </w:r>
    </w:p>
    <w:p w14:paraId="6FEE220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17.2 未通过符合性审查的投标人，其投标无效。</w:t>
      </w:r>
    </w:p>
    <w:p w14:paraId="617BC35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17.3 通过符合性审查的投标人不足3家的，应予以废标。</w:t>
      </w:r>
    </w:p>
    <w:p w14:paraId="322F5B72">
      <w:pPr>
        <w:topLinePunct/>
        <w:autoSpaceDE w:val="0"/>
        <w:autoSpaceDN w:val="0"/>
        <w:adjustRightInd w:val="0"/>
        <w:snapToGrid w:val="0"/>
        <w:spacing w:after="0" w:line="360" w:lineRule="auto"/>
        <w:rPr>
          <w:rFonts w:ascii="宋体" w:hAnsi="宋体" w:cs="宋体"/>
          <w:b/>
          <w:color w:val="auto"/>
          <w:sz w:val="24"/>
        </w:rPr>
      </w:pPr>
    </w:p>
    <w:p w14:paraId="698E1CD0">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18</w:t>
      </w:r>
      <w:r>
        <w:rPr>
          <w:rFonts w:hint="eastAsia" w:ascii="宋体" w:hAnsi="宋体" w:cs="宋体"/>
          <w:color w:val="000000"/>
          <w:szCs w:val="21"/>
          <w:highlight w:val="white"/>
        </w:rPr>
        <w:t>．</w:t>
      </w:r>
      <w:r>
        <w:rPr>
          <w:rFonts w:hint="eastAsia" w:ascii="宋体" w:hAnsi="宋体" w:cs="宋体"/>
          <w:b/>
          <w:color w:val="000000"/>
          <w:sz w:val="24"/>
          <w:highlight w:val="white"/>
        </w:rPr>
        <w:t>投标文件的澄清</w:t>
      </w:r>
    </w:p>
    <w:p w14:paraId="28FBD89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18.1 对于投标文件中含义不明确、同类问题表述不一致或者有明显文字和计算错误的内容，评标委员会可以书面形式要求投标人作出必要的澄清、说明或者补正。</w:t>
      </w:r>
    </w:p>
    <w:p w14:paraId="1D67122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14:paraId="416EE4E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18.3 除评标委员会要求投标人做出的澄清、说明或者补正以外，评标委员会不接受投标人的任何询问、说明、更改及文件。</w:t>
      </w:r>
    </w:p>
    <w:p w14:paraId="5BDE1BE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18.4 投标人的澄清必须在规定的时间内提交。</w:t>
      </w:r>
    </w:p>
    <w:p w14:paraId="2DCCBDD3">
      <w:pPr>
        <w:topLinePunct/>
        <w:autoSpaceDE w:val="0"/>
        <w:autoSpaceDN w:val="0"/>
        <w:adjustRightInd w:val="0"/>
        <w:snapToGrid w:val="0"/>
        <w:spacing w:after="0" w:line="360" w:lineRule="auto"/>
        <w:ind w:firstLine="480" w:firstLineChars="200"/>
        <w:rPr>
          <w:rFonts w:ascii="宋体" w:hAnsi="宋体" w:cs="宋体"/>
          <w:color w:val="auto"/>
          <w:sz w:val="24"/>
        </w:rPr>
      </w:pPr>
    </w:p>
    <w:p w14:paraId="233168B5">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19</w:t>
      </w:r>
      <w:r>
        <w:rPr>
          <w:rFonts w:hint="eastAsia" w:ascii="宋体" w:hAnsi="宋体" w:cs="宋体"/>
          <w:color w:val="000000"/>
          <w:szCs w:val="21"/>
          <w:highlight w:val="white"/>
        </w:rPr>
        <w:t>．</w:t>
      </w:r>
      <w:r>
        <w:rPr>
          <w:rFonts w:hint="eastAsia" w:ascii="宋体" w:hAnsi="宋体" w:cs="宋体"/>
          <w:b/>
          <w:color w:val="000000"/>
          <w:sz w:val="24"/>
          <w:highlight w:val="white"/>
        </w:rPr>
        <w:t>核价原则</w:t>
      </w:r>
    </w:p>
    <w:p w14:paraId="79D4878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bCs/>
          <w:color w:val="000000"/>
          <w:sz w:val="24"/>
          <w:highlight w:val="white"/>
        </w:rPr>
        <w:t xml:space="preserve">19.1 </w:t>
      </w:r>
      <w:r>
        <w:rPr>
          <w:rFonts w:hint="eastAsia" w:ascii="宋体" w:hAnsi="宋体" w:cs="宋体"/>
          <w:color w:val="000000"/>
          <w:sz w:val="24"/>
          <w:highlight w:val="white"/>
        </w:rPr>
        <w:t>投标文件报价出现前后不一致的，除招标文件另有规定外，按照下列规定修正：</w:t>
      </w:r>
    </w:p>
    <w:p w14:paraId="53E36A39">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（1）投标文件中开标一览表（总报价表）内容与投标文件中相应内容不一致的，以开标一览表（总报价表）为准；</w:t>
      </w:r>
    </w:p>
    <w:p w14:paraId="75FE6990">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（2）大写金额和小写金额不一致的，以大写金额为准；</w:t>
      </w:r>
    </w:p>
    <w:p w14:paraId="5515B6AE">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（3）单价金额小数点或者百分比有明显错位的，以开标一览表的总价为准，并修改单价；</w:t>
      </w:r>
    </w:p>
    <w:p w14:paraId="26AB4AC3">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（4）总价金额与按单价汇总金额不一致的，以单价金额计算结果为准。</w:t>
      </w:r>
    </w:p>
    <w:p w14:paraId="4E9ACE1F">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（5）同时出现两种以上不一致的，按照前款规定的顺序修正。修正后的报价按照</w:t>
      </w:r>
      <w:r>
        <w:rPr>
          <w:rFonts w:hint="eastAsia" w:ascii="宋体" w:hAnsi="宋体" w:cs="宋体"/>
          <w:color w:val="000000"/>
          <w:sz w:val="24"/>
          <w:highlight w:val="white"/>
          <w:lang w:val="en-US" w:eastAsia="zh-CN"/>
        </w:rPr>
        <w:t>18.2</w:t>
      </w:r>
      <w:r>
        <w:rPr>
          <w:rFonts w:hint="eastAsia" w:ascii="宋体" w:hAnsi="宋体" w:cs="宋体"/>
          <w:color w:val="000000"/>
          <w:sz w:val="24"/>
          <w:highlight w:val="white"/>
        </w:rPr>
        <w:t>条的规定经投标人确认后产生约束力，投标人不确认的，其投标无效。</w:t>
      </w:r>
    </w:p>
    <w:p w14:paraId="31A602A8">
      <w:pPr>
        <w:topLinePunct/>
        <w:autoSpaceDE w:val="0"/>
        <w:autoSpaceDN w:val="0"/>
        <w:adjustRightInd w:val="0"/>
        <w:snapToGrid w:val="0"/>
        <w:spacing w:after="0" w:line="360" w:lineRule="auto"/>
        <w:ind w:left="420"/>
        <w:rPr>
          <w:rFonts w:ascii="宋体" w:hAnsi="宋体" w:cs="宋体"/>
          <w:color w:val="auto"/>
          <w:sz w:val="24"/>
        </w:rPr>
      </w:pPr>
    </w:p>
    <w:p w14:paraId="562D2CE4">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20</w:t>
      </w:r>
      <w:r>
        <w:rPr>
          <w:rFonts w:hint="eastAsia" w:ascii="宋体" w:hAnsi="宋体" w:cs="宋体"/>
          <w:color w:val="000000"/>
          <w:szCs w:val="21"/>
          <w:highlight w:val="white"/>
        </w:rPr>
        <w:t>．</w:t>
      </w:r>
      <w:r>
        <w:rPr>
          <w:rFonts w:hint="eastAsia" w:ascii="宋体" w:hAnsi="宋体" w:cs="宋体"/>
          <w:b/>
          <w:color w:val="000000"/>
          <w:sz w:val="24"/>
          <w:highlight w:val="white"/>
        </w:rPr>
        <w:t>投标无效</w:t>
      </w:r>
    </w:p>
    <w:p w14:paraId="704FFB2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20.1 投标人及投标文件有下列情况之一的，应当在资格审查时按照投标无效处理：</w:t>
      </w:r>
    </w:p>
    <w:p w14:paraId="1059E72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不具备招标文件中规定的资格要求的；</w:t>
      </w:r>
    </w:p>
    <w:p w14:paraId="15DE5C4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投标文件组成中“资格证明文件”未提供或无效的；</w:t>
      </w:r>
    </w:p>
    <w:p w14:paraId="2369E61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 未通过信用记录审查或未提供相关证明材料的。</w:t>
      </w:r>
    </w:p>
    <w:p w14:paraId="0B0D9D2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20.2 投标人及投标文件有下列情况之一的，应当在符合性审查时按照投标无效处理：</w:t>
      </w:r>
    </w:p>
    <w:p w14:paraId="5E88642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投标文件组成中除“资格证明文件”外，★条款相关文件及资料未提供或提供无效的;</w:t>
      </w:r>
    </w:p>
    <w:p w14:paraId="47032FD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投标文件未按招标文件要求签署、盖章的；</w:t>
      </w:r>
    </w:p>
    <w:p w14:paraId="677C76F3">
      <w:pPr>
        <w:topLinePunct/>
        <w:autoSpaceDE w:val="0"/>
        <w:autoSpaceDN w:val="0"/>
        <w:adjustRightInd w:val="0"/>
        <w:snapToGrid w:val="0"/>
        <w:spacing w:after="0" w:line="360" w:lineRule="auto"/>
        <w:ind w:firstLine="480" w:firstLineChars="200"/>
        <w:rPr>
          <w:rFonts w:hint="default" w:ascii="宋体" w:hAnsi="宋体" w:eastAsia="宋体" w:cs="宋体"/>
          <w:color w:val="auto"/>
          <w:sz w:val="24"/>
          <w:highlight w:val="none"/>
          <w:lang w:val="en-US" w:eastAsia="zh-CN"/>
        </w:rPr>
      </w:pPr>
      <w:r>
        <w:rPr>
          <w:rFonts w:hint="eastAsia" w:ascii="宋体" w:hAnsi="宋体" w:cs="宋体"/>
          <w:color w:val="000000"/>
          <w:sz w:val="24"/>
          <w:highlight w:val="white"/>
        </w:rPr>
        <w:t>（3） 投标报价超过招标文件中规定的预算金额或者最高限价</w:t>
      </w:r>
      <w:r>
        <w:rPr>
          <w:rFonts w:hint="eastAsia" w:ascii="宋体" w:hAnsi="宋体" w:cs="宋体"/>
          <w:color w:val="000000"/>
          <w:sz w:val="24"/>
          <w:highlight w:val="white"/>
          <w:lang w:eastAsia="zh-CN"/>
        </w:rPr>
        <w:t>（分项预算最高限价，如有）</w:t>
      </w:r>
      <w:r>
        <w:rPr>
          <w:rFonts w:hint="eastAsia" w:ascii="宋体" w:hAnsi="宋体" w:cs="宋体"/>
          <w:color w:val="000000"/>
          <w:sz w:val="24"/>
          <w:highlight w:val="white"/>
        </w:rPr>
        <w:t>的</w:t>
      </w:r>
      <w:r>
        <w:rPr>
          <w:rFonts w:hint="eastAsia" w:ascii="宋体" w:hAnsi="宋体" w:cs="宋体"/>
          <w:b w:val="0"/>
          <w:bCs w:val="0"/>
          <w:color w:val="000000"/>
          <w:sz w:val="24"/>
          <w:highlight w:val="white"/>
          <w:lang w:val="en-US" w:eastAsia="zh-CN"/>
        </w:rPr>
        <w:t>；</w:t>
      </w:r>
    </w:p>
    <w:p w14:paraId="77517B1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 投标有效期不足的；</w:t>
      </w:r>
    </w:p>
    <w:p w14:paraId="78AD477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（5） 投标文件含有采购人不能接受的附加条件的；</w:t>
      </w:r>
    </w:p>
    <w:p w14:paraId="4DC4ECF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20.3 除20.1及20.2情形外，投标人及投标文件有下列情况之一的，应当按照投标无效处理：</w:t>
      </w:r>
    </w:p>
    <w:p w14:paraId="243D778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提供虚假投标文件材料的；</w:t>
      </w:r>
    </w:p>
    <w:p w14:paraId="2D36EEA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投标人串通投标的；</w:t>
      </w:r>
    </w:p>
    <w:p w14:paraId="519AEE6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 投标报价明显低于其他通过符合性审查投标人的报价，且不能证明其报价合理性的。</w:t>
      </w:r>
    </w:p>
    <w:p w14:paraId="3061AC9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 法律、法规和招标文件规定的其他无效情形。</w:t>
      </w:r>
    </w:p>
    <w:p w14:paraId="7180B695">
      <w:pPr>
        <w:topLinePunct/>
        <w:autoSpaceDE w:val="0"/>
        <w:autoSpaceDN w:val="0"/>
        <w:adjustRightInd w:val="0"/>
        <w:snapToGrid w:val="0"/>
        <w:spacing w:after="0" w:line="360" w:lineRule="auto"/>
        <w:ind w:firstLine="720" w:firstLineChars="300"/>
        <w:rPr>
          <w:rFonts w:ascii="宋体" w:hAnsi="宋体" w:cs="宋体"/>
          <w:color w:val="auto"/>
          <w:sz w:val="24"/>
        </w:rPr>
      </w:pPr>
    </w:p>
    <w:p w14:paraId="161E2D5B">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21</w:t>
      </w:r>
      <w:r>
        <w:rPr>
          <w:rFonts w:hint="eastAsia" w:ascii="宋体" w:hAnsi="宋体" w:cs="宋体"/>
          <w:color w:val="000000"/>
          <w:szCs w:val="21"/>
          <w:highlight w:val="white"/>
        </w:rPr>
        <w:t>．</w:t>
      </w:r>
      <w:r>
        <w:rPr>
          <w:rFonts w:hint="eastAsia" w:ascii="宋体" w:hAnsi="宋体" w:cs="宋体"/>
          <w:b/>
          <w:color w:val="000000"/>
          <w:sz w:val="24"/>
          <w:highlight w:val="white"/>
        </w:rPr>
        <w:t>比较与评价</w:t>
      </w:r>
    </w:p>
    <w:p w14:paraId="65658A63">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21.1 评标委员会按照招标文件中规定的评标方法和标准，对符合性审查合格的投标文件进行商务和技术评估，综合比较与评价。</w:t>
      </w:r>
    </w:p>
    <w:p w14:paraId="6B2D558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21.2 价格分应当采用低价优先法计算。</w:t>
      </w:r>
      <w:r>
        <w:rPr>
          <w:rFonts w:hint="eastAsia" w:ascii="宋体" w:hAnsi="宋体" w:eastAsia="宋体" w:cs="宋体"/>
          <w:color w:val="000000"/>
          <w:kern w:val="2"/>
          <w:sz w:val="24"/>
          <w:szCs w:val="24"/>
          <w:highlight w:val="white"/>
          <w:lang w:val="en-US" w:eastAsia="zh-CN" w:bidi="ar"/>
        </w:rPr>
        <w:t>如果小型、微型企业和监狱企业、残疾人福利性单位的投标报价按照</w:t>
      </w:r>
      <w:r>
        <w:rPr>
          <w:rFonts w:hint="eastAsia" w:ascii="宋体" w:hAnsi="宋体" w:eastAsia="宋体" w:cs="宋体"/>
          <w:b/>
          <w:color w:val="000000"/>
          <w:kern w:val="2"/>
          <w:sz w:val="24"/>
          <w:szCs w:val="24"/>
          <w:highlight w:val="white"/>
          <w:lang w:val="en-US" w:eastAsia="zh-CN" w:bidi="ar"/>
        </w:rPr>
        <w:t>投标人须知前附表</w:t>
      </w:r>
      <w:r>
        <w:rPr>
          <w:rFonts w:hint="eastAsia" w:ascii="宋体" w:hAnsi="宋体" w:eastAsia="宋体" w:cs="宋体"/>
          <w:color w:val="000000"/>
          <w:kern w:val="2"/>
          <w:sz w:val="24"/>
          <w:szCs w:val="24"/>
          <w:highlight w:val="white"/>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14:paraId="2E1ABFE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21.3 评标委员会各成员独立对每个投标人的投标文件进行评价，并汇总得出每个投标人的评审得分。</w:t>
      </w:r>
    </w:p>
    <w:p w14:paraId="5074036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21.4 评标结果按评审得分由高到低顺序排列。得分相同的，按投标报价由低到高顺序排列。得分</w:t>
      </w:r>
      <w:r>
        <w:rPr>
          <w:rFonts w:hint="eastAsia" w:ascii="宋体" w:hAnsi="宋体" w:cs="宋体"/>
          <w:color w:val="000000"/>
          <w:sz w:val="24"/>
          <w:highlight w:val="white"/>
          <w:lang w:eastAsia="zh-CN"/>
        </w:rPr>
        <w:t>相同</w:t>
      </w:r>
      <w:r>
        <w:rPr>
          <w:rFonts w:hint="eastAsia" w:ascii="宋体" w:hAnsi="宋体" w:cs="宋体"/>
          <w:color w:val="000000"/>
          <w:sz w:val="24"/>
          <w:highlight w:val="white"/>
        </w:rPr>
        <w:t>且投标报价相同的并列。投标文件满足招标文件全部实质性要求，且按照评审因素的量化指标评审得分最高的投标人为排名第一的中标候选人。</w:t>
      </w:r>
    </w:p>
    <w:p w14:paraId="7F4CA171">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hint="eastAsia" w:ascii="宋体" w:hAnsi="宋体" w:cs="宋体"/>
          <w:color w:val="000000"/>
          <w:sz w:val="24"/>
          <w:highlight w:val="white"/>
        </w:rPr>
        <w:t>21.5 评标方法及标准</w:t>
      </w:r>
      <w:r>
        <w:rPr>
          <w:rFonts w:hint="eastAsia" w:ascii="宋体" w:hAnsi="宋体" w:cs="宋体"/>
          <w:b/>
          <w:color w:val="000000"/>
          <w:sz w:val="24"/>
          <w:highlight w:val="white"/>
        </w:rPr>
        <w:t>详见招标文件商务部分第三章。</w:t>
      </w:r>
    </w:p>
    <w:p w14:paraId="36FF0D3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14:paraId="7A01D9E0">
      <w:pPr>
        <w:topLinePunct/>
        <w:autoSpaceDE w:val="0"/>
        <w:autoSpaceDN w:val="0"/>
        <w:adjustRightInd w:val="0"/>
        <w:snapToGrid w:val="0"/>
        <w:spacing w:after="0" w:line="360" w:lineRule="auto"/>
        <w:ind w:firstLine="480" w:firstLineChars="200"/>
        <w:rPr>
          <w:rFonts w:ascii="宋体" w:hAnsi="宋体" w:cs="宋体"/>
          <w:color w:val="auto"/>
          <w:sz w:val="24"/>
        </w:rPr>
      </w:pPr>
    </w:p>
    <w:p w14:paraId="535C13AE">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22</w:t>
      </w:r>
      <w:r>
        <w:rPr>
          <w:rFonts w:hint="eastAsia" w:ascii="宋体" w:hAnsi="宋体" w:cs="宋体"/>
          <w:color w:val="000000"/>
          <w:szCs w:val="21"/>
          <w:highlight w:val="white"/>
        </w:rPr>
        <w:t>．</w:t>
      </w:r>
      <w:r>
        <w:rPr>
          <w:rFonts w:hint="eastAsia" w:ascii="宋体" w:hAnsi="宋体" w:cs="宋体"/>
          <w:b/>
          <w:color w:val="000000"/>
          <w:sz w:val="24"/>
          <w:highlight w:val="white"/>
        </w:rPr>
        <w:t>废标</w:t>
      </w:r>
    </w:p>
    <w:p w14:paraId="3B72E88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22.1 在招标采购中，出现下列情形之一的，应予废标：</w:t>
      </w:r>
    </w:p>
    <w:p w14:paraId="0ABC1FA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（1）符合专业条件的供应商或者对招标文件作实质响应的供应商不足三家的；</w:t>
      </w:r>
    </w:p>
    <w:p w14:paraId="416F532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（2）出现影响采购公正的违法、违规行为的；</w:t>
      </w:r>
    </w:p>
    <w:p w14:paraId="22F2C55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（3）投标人的报价均超过了采购预算，采购人不能支付的；</w:t>
      </w:r>
    </w:p>
    <w:p w14:paraId="3ACC4B1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（4）因重大变故，采购任务取消的。</w:t>
      </w:r>
    </w:p>
    <w:p w14:paraId="692AF2B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22.2 废标后，采购人将废标理由通知所有投标人。</w:t>
      </w:r>
    </w:p>
    <w:p w14:paraId="6C618F6F">
      <w:pPr>
        <w:topLinePunct/>
        <w:autoSpaceDE w:val="0"/>
        <w:autoSpaceDN w:val="0"/>
        <w:adjustRightInd w:val="0"/>
        <w:snapToGrid w:val="0"/>
        <w:spacing w:after="0" w:line="360" w:lineRule="auto"/>
        <w:ind w:firstLine="480" w:firstLineChars="200"/>
        <w:rPr>
          <w:rFonts w:ascii="宋体" w:hAnsi="宋体" w:cs="宋体"/>
          <w:color w:val="auto"/>
          <w:sz w:val="24"/>
        </w:rPr>
      </w:pPr>
    </w:p>
    <w:p w14:paraId="3E65B603">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六、中标和合同</w:t>
      </w:r>
    </w:p>
    <w:p w14:paraId="2DC5F296">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23</w:t>
      </w:r>
      <w:r>
        <w:rPr>
          <w:rFonts w:hint="eastAsia" w:ascii="宋体" w:hAnsi="宋体" w:cs="宋体"/>
          <w:color w:val="000000"/>
          <w:szCs w:val="21"/>
          <w:highlight w:val="white"/>
        </w:rPr>
        <w:t>．</w:t>
      </w:r>
      <w:r>
        <w:rPr>
          <w:rFonts w:hint="eastAsia" w:ascii="宋体" w:hAnsi="宋体" w:cs="宋体"/>
          <w:b/>
          <w:color w:val="000000"/>
          <w:sz w:val="24"/>
          <w:highlight w:val="white"/>
        </w:rPr>
        <w:t>中标</w:t>
      </w:r>
    </w:p>
    <w:p w14:paraId="07CE4C4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23.1 采购人在评标结束后5个工作日内，按评标报告推荐的中标候选人顺序确定中标人。</w:t>
      </w:r>
    </w:p>
    <w:p w14:paraId="0AF7CC4A">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23.2 采购人自中标人确定之日起2个工作日内，在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规定的媒体上公告中标结果，招标文件应随中标结果同时公告（中标、成交结果公告前采购文件已公告的，不再重复公告）。中标公告期限为1个工作日。</w:t>
      </w:r>
    </w:p>
    <w:p w14:paraId="0ABF050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14:paraId="60AEFAB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23.4 中标通知书发出后，采购人不得违法改变中标结果，中标人无正当理由不得放弃中标。</w:t>
      </w:r>
    </w:p>
    <w:p w14:paraId="4637EA0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23.5 中标通知书对采购人和中标人具有同等法律效力。</w:t>
      </w:r>
    </w:p>
    <w:p w14:paraId="6A7AFF60">
      <w:pPr>
        <w:topLinePunct/>
        <w:autoSpaceDE w:val="0"/>
        <w:autoSpaceDN w:val="0"/>
        <w:adjustRightInd w:val="0"/>
        <w:snapToGrid w:val="0"/>
        <w:spacing w:after="0" w:line="360" w:lineRule="auto"/>
        <w:ind w:left="420"/>
        <w:rPr>
          <w:rFonts w:ascii="宋体" w:hAnsi="宋体" w:cs="宋体"/>
          <w:color w:val="auto"/>
          <w:sz w:val="24"/>
        </w:rPr>
      </w:pPr>
    </w:p>
    <w:p w14:paraId="1B832F22">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24</w:t>
      </w:r>
      <w:r>
        <w:rPr>
          <w:rFonts w:hint="eastAsia" w:ascii="宋体" w:hAnsi="宋体" w:cs="宋体"/>
          <w:color w:val="000000"/>
          <w:szCs w:val="21"/>
          <w:highlight w:val="white"/>
        </w:rPr>
        <w:t>．</w:t>
      </w:r>
      <w:r>
        <w:rPr>
          <w:rFonts w:hint="eastAsia" w:ascii="宋体" w:hAnsi="宋体" w:cs="宋体"/>
          <w:b/>
          <w:color w:val="000000"/>
          <w:sz w:val="24"/>
          <w:highlight w:val="white"/>
        </w:rPr>
        <w:t>签订合同</w:t>
      </w:r>
    </w:p>
    <w:p w14:paraId="5A4DD38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24.1 采购人应当自中标通知书发出之日起30日内，按照招标文件和中标人投标文件的规定，</w:t>
      </w:r>
      <w:r>
        <w:rPr>
          <w:rFonts w:hint="eastAsia" w:ascii="宋体" w:hAnsi="宋体" w:cs="宋体"/>
          <w:color w:val="000000"/>
          <w:sz w:val="24"/>
          <w:highlight w:val="white"/>
          <w:lang w:eastAsia="zh-CN"/>
        </w:rPr>
        <w:t>通过国家税务总局政府采购评审管理系统</w:t>
      </w:r>
      <w:r>
        <w:rPr>
          <w:rFonts w:hint="eastAsia" w:ascii="宋体" w:hAnsi="宋体" w:cs="宋体"/>
          <w:color w:val="000000"/>
          <w:sz w:val="24"/>
          <w:highlight w:val="white"/>
        </w:rPr>
        <w:t>与中标人签订合同。</w:t>
      </w:r>
    </w:p>
    <w:p w14:paraId="1B97983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24.2 所签订的合同不得对招标文件确定的事项和中标人投标文件作实质性修改。</w:t>
      </w:r>
    </w:p>
    <w:p w14:paraId="5DEE72B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24.3 采购人不得向中标人提出任何不合理的要求作为签订合同的条件。</w:t>
      </w:r>
    </w:p>
    <w:p w14:paraId="7790FDF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24.4 中标人拒绝与采购人签订合同的，采购人可以按照评审报告推荐的中标候选人名单排序，确定下一候选人为中标人，也可以重新开展政府采购活动。</w:t>
      </w:r>
    </w:p>
    <w:p w14:paraId="56CDB8C9">
      <w:pPr>
        <w:topLinePunct/>
        <w:autoSpaceDE w:val="0"/>
        <w:autoSpaceDN w:val="0"/>
        <w:adjustRightInd w:val="0"/>
        <w:snapToGrid w:val="0"/>
        <w:spacing w:after="0" w:line="360" w:lineRule="auto"/>
        <w:rPr>
          <w:rFonts w:ascii="宋体" w:hAnsi="宋体" w:cs="宋体"/>
          <w:b/>
          <w:color w:val="auto"/>
          <w:sz w:val="24"/>
        </w:rPr>
      </w:pPr>
    </w:p>
    <w:p w14:paraId="6BD1CAB7">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25</w:t>
      </w:r>
      <w:r>
        <w:rPr>
          <w:rFonts w:hint="eastAsia" w:ascii="宋体" w:hAnsi="宋体" w:cs="宋体"/>
          <w:color w:val="000000"/>
          <w:szCs w:val="21"/>
          <w:highlight w:val="white"/>
        </w:rPr>
        <w:t>．</w:t>
      </w:r>
      <w:r>
        <w:rPr>
          <w:rFonts w:hint="eastAsia" w:ascii="宋体" w:hAnsi="宋体" w:cs="宋体"/>
          <w:b/>
          <w:color w:val="000000"/>
          <w:sz w:val="24"/>
          <w:highlight w:val="white"/>
        </w:rPr>
        <w:t>履约保证金</w:t>
      </w:r>
    </w:p>
    <w:p w14:paraId="0DB4B111">
      <w:pPr>
        <w:topLinePunct/>
        <w:autoSpaceDE w:val="0"/>
        <w:autoSpaceDN w:val="0"/>
        <w:adjustRightInd w:val="0"/>
        <w:snapToGrid w:val="0"/>
        <w:spacing w:after="0" w:line="360" w:lineRule="auto"/>
        <w:ind w:firstLine="480" w:firstLineChars="200"/>
        <w:rPr>
          <w:rFonts w:ascii="宋体"/>
          <w:color w:val="auto"/>
          <w:sz w:val="24"/>
        </w:rPr>
      </w:pPr>
      <w:r>
        <w:rPr>
          <w:rFonts w:hint="eastAsia" w:ascii="宋体" w:hAnsi="宋体" w:cs="宋体"/>
          <w:color w:val="000000"/>
          <w:sz w:val="24"/>
          <w:highlight w:val="white"/>
        </w:rPr>
        <w:t xml:space="preserve">25.1 </w:t>
      </w:r>
      <w:r>
        <w:rPr>
          <w:rFonts w:hint="eastAsia" w:ascii="宋体" w:hAnsi="宋体" w:cs="宋体"/>
          <w:color w:val="000000"/>
          <w:sz w:val="24"/>
          <w:highlight w:val="white"/>
          <w:lang w:eastAsia="zh-CN"/>
        </w:rPr>
        <w:t>需提交履约保证金的项目，</w:t>
      </w:r>
      <w:r>
        <w:rPr>
          <w:rFonts w:hint="eastAsia" w:ascii="宋体" w:hAnsi="宋体" w:cs="宋体"/>
          <w:color w:val="000000"/>
          <w:sz w:val="24"/>
          <w:highlight w:val="white"/>
        </w:rPr>
        <w:t>中标人应在合同签订之日起30日内，</w:t>
      </w:r>
      <w:r>
        <w:rPr>
          <w:rFonts w:hint="eastAsia" w:ascii="宋体"/>
          <w:color w:val="000000"/>
          <w:sz w:val="24"/>
          <w:highlight w:val="white"/>
        </w:rPr>
        <w:t>按照</w:t>
      </w:r>
      <w:r>
        <w:rPr>
          <w:rFonts w:hint="eastAsia" w:ascii="宋体" w:hAnsi="宋体" w:cs="宋体"/>
          <w:b/>
          <w:color w:val="000000"/>
          <w:sz w:val="24"/>
          <w:highlight w:val="white"/>
        </w:rPr>
        <w:t>投标人须知前附表</w:t>
      </w:r>
      <w:r>
        <w:rPr>
          <w:rFonts w:hint="eastAsia" w:ascii="宋体"/>
          <w:color w:val="000000"/>
          <w:sz w:val="24"/>
          <w:highlight w:val="white"/>
        </w:rPr>
        <w:t>的规定，向采购人提交履约保证金。</w:t>
      </w:r>
    </w:p>
    <w:p w14:paraId="36BABCDB">
      <w:pPr>
        <w:pStyle w:val="78"/>
        <w:adjustRightInd w:val="0"/>
        <w:snapToGrid w:val="0"/>
        <w:spacing w:after="0" w:line="360" w:lineRule="auto"/>
        <w:rPr>
          <w:color w:val="auto"/>
        </w:rPr>
      </w:pPr>
    </w:p>
    <w:p w14:paraId="37079E83">
      <w:pPr>
        <w:topLinePunct/>
        <w:autoSpaceDE w:val="0"/>
        <w:autoSpaceDN w:val="0"/>
        <w:adjustRightInd w:val="0"/>
        <w:snapToGrid w:val="0"/>
        <w:spacing w:after="0" w:line="360" w:lineRule="auto"/>
        <w:ind w:firstLine="480" w:firstLineChars="200"/>
        <w:rPr>
          <w:rFonts w:ascii="宋体" w:hAnsi="宋体" w:cs="宋体"/>
          <w:color w:val="auto"/>
          <w:sz w:val="24"/>
        </w:rPr>
      </w:pPr>
    </w:p>
    <w:p w14:paraId="612E524E">
      <w:pPr>
        <w:topLinePunct/>
        <w:autoSpaceDE w:val="0"/>
        <w:autoSpaceDN w:val="0"/>
        <w:adjustRightInd w:val="0"/>
        <w:snapToGrid w:val="0"/>
        <w:spacing w:after="0" w:line="360" w:lineRule="auto"/>
        <w:ind w:firstLine="482"/>
        <w:jc w:val="center"/>
        <w:rPr>
          <w:rFonts w:ascii="宋体" w:hAnsi="宋体" w:cs="宋体"/>
          <w:b/>
          <w:bCs/>
          <w:color w:val="auto"/>
          <w:sz w:val="32"/>
          <w:szCs w:val="32"/>
        </w:rPr>
      </w:pPr>
      <w:r>
        <w:rPr>
          <w:rFonts w:hint="eastAsia" w:ascii="宋体" w:hAnsi="宋体" w:cs="宋体"/>
          <w:b/>
          <w:bCs/>
          <w:color w:val="000000"/>
          <w:sz w:val="32"/>
          <w:szCs w:val="32"/>
          <w:highlight w:val="white"/>
        </w:rPr>
        <w:t>七、询问和质疑</w:t>
      </w:r>
    </w:p>
    <w:p w14:paraId="0CDE2E9B">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26. 询问</w:t>
      </w:r>
    </w:p>
    <w:p w14:paraId="62A95874">
      <w:pPr>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000000"/>
          <w:sz w:val="24"/>
          <w:highlight w:val="white"/>
        </w:rPr>
        <w:t>26.1 供应商对政府采购活动事项有疑问的，可以向采购人提出询问，采购人应在3个工作日内作出答复，但答复的内容不得涉及商业秘密。</w:t>
      </w:r>
    </w:p>
    <w:p w14:paraId="7087ADA4">
      <w:pPr>
        <w:topLinePunct/>
        <w:autoSpaceDE w:val="0"/>
        <w:autoSpaceDN w:val="0"/>
        <w:adjustRightInd w:val="0"/>
        <w:snapToGrid w:val="0"/>
        <w:spacing w:after="0" w:line="360" w:lineRule="auto"/>
        <w:ind w:firstLine="480" w:firstLineChars="200"/>
        <w:jc w:val="left"/>
        <w:rPr>
          <w:rFonts w:ascii="宋体" w:hAnsi="宋体" w:cs="宋体"/>
          <w:color w:val="auto"/>
          <w:sz w:val="24"/>
        </w:rPr>
      </w:pPr>
    </w:p>
    <w:p w14:paraId="55D5730D">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27</w:t>
      </w:r>
      <w:r>
        <w:rPr>
          <w:rFonts w:hint="eastAsia" w:ascii="宋体" w:hAnsi="宋体" w:cs="宋体"/>
          <w:color w:val="000000"/>
          <w:szCs w:val="21"/>
          <w:highlight w:val="white"/>
        </w:rPr>
        <w:t>．</w:t>
      </w:r>
      <w:r>
        <w:rPr>
          <w:rFonts w:hint="eastAsia" w:ascii="宋体" w:hAnsi="宋体" w:cs="宋体"/>
          <w:b/>
          <w:color w:val="000000"/>
          <w:sz w:val="24"/>
          <w:highlight w:val="white"/>
        </w:rPr>
        <w:t>质疑</w:t>
      </w:r>
    </w:p>
    <w:p w14:paraId="0041478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27.1 供应商认为招标文件、招标过程和中标结果使自己的权益受到损害的，可以在知道或者应知其权益受到损害之日起7个工作日内</w:t>
      </w:r>
      <w:r>
        <w:rPr>
          <w:rFonts w:hint="eastAsia" w:ascii="宋体" w:hAnsi="宋体" w:cs="宋体"/>
          <w:b w:val="0"/>
          <w:bCs/>
          <w:color w:val="000000"/>
          <w:sz w:val="24"/>
          <w:highlight w:val="white"/>
        </w:rPr>
        <w:t>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向采购人提出质疑。联系部门、联系电话、通讯地址、电子邮箱</w:t>
      </w:r>
      <w:r>
        <w:rPr>
          <w:rFonts w:hint="eastAsia" w:ascii="宋体" w:hAnsi="宋体" w:cs="宋体"/>
          <w:b/>
          <w:bCs/>
          <w:color w:val="000000"/>
          <w:sz w:val="24"/>
          <w:highlight w:val="white"/>
        </w:rPr>
        <w:t>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。在法定质疑期内，针对同一采购程序环节的质疑应一次性提出。</w:t>
      </w:r>
    </w:p>
    <w:p w14:paraId="2573F0F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14:paraId="4A64FEA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27.3 采购人应当在收到供应商的质疑函后7个工作日内，对质疑内容作出答复，并通过评审管理系统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通知质疑供应商和其他有关供应商，但答复内容不得涉及商业秘密。</w:t>
      </w:r>
    </w:p>
    <w:p w14:paraId="601523E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27.4 质疑供应商对采购人的答复不满意或者采购人未在规定时间内作出答复的，可以在答复期满后15个工作日内按有关规定，向同级人民政府财政部门投诉。</w:t>
      </w:r>
    </w:p>
    <w:p w14:paraId="4C4A673B">
      <w:pPr>
        <w:topLinePunct/>
        <w:autoSpaceDE w:val="0"/>
        <w:autoSpaceDN w:val="0"/>
        <w:adjustRightInd w:val="0"/>
        <w:snapToGrid w:val="0"/>
        <w:spacing w:after="0" w:line="360" w:lineRule="auto"/>
        <w:rPr>
          <w:rFonts w:ascii="宋体" w:hAnsi="宋体" w:cs="宋体"/>
          <w:b/>
          <w:color w:val="auto"/>
          <w:sz w:val="24"/>
        </w:rPr>
      </w:pPr>
    </w:p>
    <w:p w14:paraId="2E849CF0">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八、其他</w:t>
      </w:r>
    </w:p>
    <w:p w14:paraId="2C80044B">
      <w:pPr>
        <w:topLinePunct/>
        <w:autoSpaceDE w:val="0"/>
        <w:autoSpaceDN w:val="0"/>
        <w:adjustRightInd w:val="0"/>
        <w:snapToGrid w:val="0"/>
        <w:spacing w:after="0" w:line="360" w:lineRule="auto"/>
        <w:ind w:firstLine="482" w:firstLineChars="200"/>
        <w:rPr>
          <w:rFonts w:ascii="宋体" w:hAnsi="宋体" w:cs="宋体"/>
          <w:b/>
          <w:color w:val="auto"/>
          <w:sz w:val="24"/>
        </w:rPr>
      </w:pPr>
    </w:p>
    <w:p w14:paraId="3ED8EC58">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28</w:t>
      </w:r>
      <w:r>
        <w:rPr>
          <w:rFonts w:hint="eastAsia" w:ascii="宋体" w:hAnsi="宋体" w:cs="宋体"/>
          <w:color w:val="000000"/>
          <w:szCs w:val="21"/>
          <w:highlight w:val="white"/>
        </w:rPr>
        <w:t>．</w:t>
      </w:r>
      <w:r>
        <w:rPr>
          <w:rFonts w:hint="eastAsia" w:ascii="宋体" w:hAnsi="宋体" w:cs="宋体"/>
          <w:b/>
          <w:color w:val="000000"/>
          <w:sz w:val="24"/>
          <w:highlight w:val="white"/>
        </w:rPr>
        <w:t>保密</w:t>
      </w:r>
    </w:p>
    <w:p w14:paraId="4CE19B6E">
      <w:pPr>
        <w:widowControl/>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14:paraId="5ED3D29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28.2 评标委员会成员和参与评标工作的有关人员对评标情况以及在评标过程中获悉的国家秘密、商业秘密负有保密责任。</w:t>
      </w:r>
    </w:p>
    <w:p w14:paraId="577DC978">
      <w:pPr>
        <w:topLinePunct/>
        <w:autoSpaceDE w:val="0"/>
        <w:autoSpaceDN w:val="0"/>
        <w:adjustRightInd w:val="0"/>
        <w:snapToGrid w:val="0"/>
        <w:spacing w:after="0" w:line="360" w:lineRule="auto"/>
        <w:rPr>
          <w:rFonts w:ascii="宋体" w:hAnsi="宋体" w:cs="宋体"/>
          <w:b/>
          <w:color w:val="auto"/>
          <w:sz w:val="24"/>
          <w:highlight w:val="none"/>
        </w:rPr>
      </w:pPr>
    </w:p>
    <w:p w14:paraId="07FB2404">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29. 知识产权与规避专利、版权纠纷</w:t>
      </w:r>
    </w:p>
    <w:p w14:paraId="707ABDF8">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eastAsia="zh-CN"/>
        </w:rPr>
        <w:t>2</w:t>
      </w:r>
      <w:r>
        <w:rPr>
          <w:rFonts w:hint="eastAsia" w:ascii="宋体" w:hAnsi="宋体" w:cs="宋体"/>
          <w:color w:val="000000"/>
          <w:sz w:val="24"/>
          <w:highlight w:val="white"/>
          <w:lang w:val="en-US" w:eastAsia="zh-CN"/>
        </w:rPr>
        <w:t>9</w:t>
      </w:r>
      <w:r>
        <w:rPr>
          <w:rFonts w:hint="eastAsia" w:ascii="宋体" w:hAnsi="宋体" w:cs="宋体"/>
          <w:color w:val="000000"/>
          <w:sz w:val="24"/>
          <w:highlight w:val="white"/>
        </w:rPr>
        <w:t>.1 知识产权</w:t>
      </w:r>
    </w:p>
    <w:p w14:paraId="7A8386E4">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 xml:space="preserve">.1.1 </w:t>
      </w:r>
      <w:r>
        <w:rPr>
          <w:rFonts w:hint="eastAsia" w:ascii="宋体" w:hAnsi="宋体" w:cs="宋体"/>
          <w:color w:val="000000"/>
          <w:sz w:val="24"/>
          <w:highlight w:val="white"/>
          <w:lang w:val="en-US" w:eastAsia="zh-CN"/>
        </w:rPr>
        <w:t>本项目涉及需开发的系统的版权属于采购人所有</w:t>
      </w:r>
      <w:r>
        <w:rPr>
          <w:rFonts w:hint="eastAsia" w:ascii="宋体" w:hAnsi="宋体" w:cs="宋体"/>
          <w:color w:val="000000"/>
          <w:sz w:val="24"/>
          <w:highlight w:val="white"/>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hint="eastAsia" w:ascii="宋体" w:hAnsi="宋体" w:cs="宋体"/>
          <w:color w:val="000000"/>
          <w:sz w:val="24"/>
          <w:highlight w:val="white"/>
        </w:rPr>
        <w:t>。</w:t>
      </w:r>
    </w:p>
    <w:p w14:paraId="530A35D9">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 规避专利、版权纠纷</w:t>
      </w:r>
    </w:p>
    <w:p w14:paraId="4396EACC">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.2.1 投标人应保证其投标方案中的有关软件、文件、图纸等没有违反有关专利和版权等知识产权的规定。</w:t>
      </w:r>
    </w:p>
    <w:p w14:paraId="247E22A7">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.2.2 中标人应保证采购人在中华人民共和国使用本项目成果任何一部分、或接受乙方服务时，免受第三方提出的侵犯其专利权、商标权或工业设计权等知识产权的索赔或起诉。</w:t>
      </w:r>
    </w:p>
    <w:p w14:paraId="0DF7502D">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14:paraId="298E15A5">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14:paraId="6089060D">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000000"/>
          <w:sz w:val="24"/>
          <w:highlight w:val="white"/>
        </w:rPr>
        <w:br w:type="page"/>
      </w:r>
      <w:r>
        <w:rPr>
          <w:rStyle w:val="37"/>
          <w:rFonts w:hint="eastAsia"/>
          <w:color w:val="000000"/>
          <w:highlight w:val="white"/>
          <w:lang w:val="en-US" w:eastAsia="zh-CN"/>
        </w:rPr>
        <w:t>第三章　评标方法及标准</w:t>
      </w:r>
    </w:p>
    <w:p w14:paraId="04689ED9">
      <w:pPr>
        <w:spacing w:line="360" w:lineRule="auto"/>
        <w:rPr>
          <w:rFonts w:ascii="宋体" w:hAnsi="宋体" w:eastAsia="宋体" w:cs="宋体"/>
        </w:rPr>
      </w:pPr>
      <w:r>
        <w:rPr>
          <w:rFonts w:ascii="宋体" w:hAnsi="宋体" w:eastAsia="宋体" w:cs="宋体"/>
          <w:color w:val="000000"/>
          <w:sz w:val="24"/>
          <w:highlight w:val="white"/>
        </w:rPr>
        <w:t xml:space="preserve">    根据财政部《政府采购货物和服务招标投标管理办法》（财政部令第87号）第五十五条规定，本项目第二包面向三级以下医院和社会专业体检机构，拟定采用综合评分法，其中客观分值72分，主观分值28分。具体评分标准如下：</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1276"/>
        <w:gridCol w:w="1134"/>
        <w:gridCol w:w="1276"/>
        <w:gridCol w:w="3475"/>
        <w:gridCol w:w="1196"/>
      </w:tblGrid>
      <w:tr w14:paraId="6445A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9" w:type="dxa"/>
            <w:vAlign w:val="center"/>
          </w:tcPr>
          <w:p w14:paraId="66845FF2">
            <w:pPr>
              <w:spacing w:before="48" w:after="48" w:line="240" w:lineRule="auto"/>
              <w:jc w:val="center"/>
            </w:pPr>
            <w:r>
              <w:rPr>
                <w:rFonts w:ascii="宋体" w:hAnsi="宋体" w:eastAsia="宋体" w:cs="宋体"/>
                <w:b/>
                <w:color w:val="000000"/>
                <w:sz w:val="21"/>
                <w:highlight w:val="white"/>
              </w:rPr>
              <w:t>序号</w:t>
            </w:r>
          </w:p>
        </w:tc>
        <w:tc>
          <w:tcPr>
            <w:tcW w:w="1276" w:type="dxa"/>
            <w:vAlign w:val="center"/>
          </w:tcPr>
          <w:p w14:paraId="2375B8BD">
            <w:pPr>
              <w:spacing w:before="48" w:after="48" w:line="240" w:lineRule="auto"/>
              <w:jc w:val="center"/>
            </w:pPr>
            <w:r>
              <w:rPr>
                <w:rFonts w:ascii="宋体" w:hAnsi="宋体" w:eastAsia="宋体" w:cs="宋体"/>
                <w:b/>
                <w:color w:val="000000"/>
                <w:sz w:val="21"/>
                <w:highlight w:val="white"/>
              </w:rPr>
              <w:t>类别</w:t>
            </w:r>
          </w:p>
        </w:tc>
        <w:tc>
          <w:tcPr>
            <w:tcW w:w="1134" w:type="dxa"/>
            <w:vAlign w:val="center"/>
          </w:tcPr>
          <w:p w14:paraId="53286C1B">
            <w:pPr>
              <w:spacing w:before="48" w:after="48" w:line="240" w:lineRule="auto"/>
              <w:jc w:val="center"/>
            </w:pPr>
            <w:r>
              <w:rPr>
                <w:rFonts w:ascii="宋体" w:hAnsi="宋体" w:eastAsia="宋体" w:cs="宋体"/>
                <w:b/>
                <w:color w:val="000000"/>
                <w:sz w:val="21"/>
                <w:highlight w:val="white"/>
              </w:rPr>
              <w:t>评审因素</w:t>
            </w:r>
          </w:p>
        </w:tc>
        <w:tc>
          <w:tcPr>
            <w:tcW w:w="1276" w:type="dxa"/>
            <w:vAlign w:val="center"/>
          </w:tcPr>
          <w:p w14:paraId="31A74EF0">
            <w:pPr>
              <w:spacing w:before="48" w:after="48" w:line="240" w:lineRule="auto"/>
              <w:jc w:val="center"/>
            </w:pPr>
            <w:r>
              <w:rPr>
                <w:rFonts w:ascii="宋体" w:hAnsi="宋体" w:eastAsia="宋体" w:cs="宋体"/>
                <w:b/>
                <w:color w:val="000000"/>
                <w:sz w:val="21"/>
                <w:highlight w:val="white"/>
              </w:rPr>
              <w:t>主要内容</w:t>
            </w:r>
          </w:p>
        </w:tc>
        <w:tc>
          <w:tcPr>
            <w:tcW w:w="3475" w:type="dxa"/>
            <w:vAlign w:val="center"/>
          </w:tcPr>
          <w:p w14:paraId="26D0B570">
            <w:pPr>
              <w:spacing w:before="48" w:after="48" w:line="240" w:lineRule="auto"/>
              <w:jc w:val="center"/>
            </w:pPr>
            <w:r>
              <w:rPr>
                <w:rFonts w:ascii="宋体" w:hAnsi="宋体" w:eastAsia="宋体" w:cs="宋体"/>
                <w:b/>
                <w:color w:val="000000"/>
                <w:sz w:val="21"/>
                <w:highlight w:val="white"/>
              </w:rPr>
              <w:t>指标要求</w:t>
            </w:r>
          </w:p>
        </w:tc>
        <w:tc>
          <w:tcPr>
            <w:tcW w:w="1196" w:type="dxa"/>
            <w:vAlign w:val="center"/>
          </w:tcPr>
          <w:p w14:paraId="0A354DB4">
            <w:pPr>
              <w:spacing w:before="48" w:after="48" w:line="240" w:lineRule="auto"/>
              <w:jc w:val="center"/>
            </w:pPr>
            <w:r>
              <w:rPr>
                <w:rFonts w:ascii="宋体" w:hAnsi="宋体" w:eastAsia="宋体" w:cs="宋体"/>
                <w:b/>
                <w:color w:val="000000"/>
                <w:sz w:val="21"/>
                <w:highlight w:val="white"/>
              </w:rPr>
              <w:t>细项分值</w:t>
            </w:r>
          </w:p>
        </w:tc>
      </w:tr>
      <w:tr w14:paraId="5E7B2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49005491">
            <w:pPr>
              <w:spacing w:before="48" w:after="48" w:line="240" w:lineRule="auto"/>
              <w:jc w:val="center"/>
            </w:pPr>
            <w:r>
              <w:rPr>
                <w:rFonts w:ascii="宋体" w:hAnsi="宋体" w:eastAsia="宋体" w:cs="宋体"/>
                <w:color w:val="000000"/>
                <w:sz w:val="21"/>
                <w:highlight w:val="white"/>
              </w:rPr>
              <w:t>1</w:t>
            </w:r>
          </w:p>
        </w:tc>
        <w:tc>
          <w:tcPr>
            <w:tcW w:w="360" w:type="dxa"/>
            <w:vMerge w:val="restart"/>
            <w:vAlign w:val="center"/>
          </w:tcPr>
          <w:p w14:paraId="78B8C887">
            <w:pPr>
              <w:spacing w:before="48" w:after="48" w:line="240" w:lineRule="auto"/>
              <w:jc w:val="center"/>
            </w:pPr>
            <w:r>
              <w:rPr>
                <w:rFonts w:ascii="宋体" w:hAnsi="宋体" w:eastAsia="宋体" w:cs="宋体"/>
                <w:color w:val="000000"/>
                <w:sz w:val="21"/>
                <w:highlight w:val="white"/>
              </w:rPr>
              <w:t>价格分</w:t>
            </w:r>
            <w:r>
              <w:rPr>
                <w:color w:val="000000"/>
                <w:highlight w:val="white"/>
              </w:rPr>
              <w:br w:type="textWrapping"/>
            </w:r>
            <w:r>
              <w:rPr>
                <w:rFonts w:ascii="宋体" w:hAnsi="宋体" w:eastAsia="宋体" w:cs="宋体"/>
                <w:color w:val="000000"/>
                <w:sz w:val="21"/>
                <w:highlight w:val="white"/>
              </w:rPr>
              <w:t>(0分)</w:t>
            </w:r>
          </w:p>
        </w:tc>
        <w:tc>
          <w:tcPr>
            <w:tcW w:w="360" w:type="dxa"/>
            <w:vMerge w:val="restart"/>
            <w:vAlign w:val="center"/>
          </w:tcPr>
          <w:p w14:paraId="6FE6ABAF">
            <w:pPr>
              <w:spacing w:before="48" w:after="48" w:line="240" w:lineRule="auto"/>
              <w:jc w:val="center"/>
            </w:pPr>
            <w:r>
              <w:rPr>
                <w:rFonts w:ascii="宋体" w:hAnsi="宋体" w:eastAsia="宋体" w:cs="宋体"/>
                <w:color w:val="000000"/>
                <w:sz w:val="21"/>
                <w:highlight w:val="white"/>
              </w:rPr>
              <w:t>报价</w:t>
            </w:r>
          </w:p>
        </w:tc>
        <w:tc>
          <w:tcPr>
            <w:tcW w:w="360" w:type="dxa"/>
            <w:vMerge w:val="restart"/>
            <w:vAlign w:val="center"/>
          </w:tcPr>
          <w:p w14:paraId="42978259">
            <w:pPr>
              <w:spacing w:before="48" w:after="48" w:line="240" w:lineRule="auto"/>
              <w:jc w:val="center"/>
            </w:pPr>
            <w:r>
              <w:rPr>
                <w:rFonts w:ascii="宋体" w:hAnsi="宋体" w:eastAsia="宋体" w:cs="宋体"/>
                <w:color w:val="000000"/>
                <w:sz w:val="21"/>
                <w:highlight w:val="white"/>
              </w:rPr>
              <w:t>价格</w:t>
            </w:r>
          </w:p>
        </w:tc>
        <w:tc>
          <w:tcPr>
            <w:tcW w:w="360" w:type="dxa"/>
          </w:tcPr>
          <w:p w14:paraId="654679D6">
            <w:pPr>
              <w:spacing w:before="48" w:after="48" w:line="240" w:lineRule="auto"/>
            </w:pPr>
            <w:r>
              <w:rPr>
                <w:rFonts w:ascii="宋体" w:hAnsi="宋体" w:eastAsia="宋体" w:cs="宋体"/>
                <w:color w:val="000000"/>
                <w:sz w:val="21"/>
                <w:highlight w:val="white"/>
              </w:rPr>
              <w:t>本项目不设置价格分。</w:t>
            </w:r>
          </w:p>
        </w:tc>
        <w:tc>
          <w:tcPr>
            <w:tcW w:w="360" w:type="dxa"/>
            <w:vMerge w:val="restart"/>
            <w:vAlign w:val="center"/>
          </w:tcPr>
          <w:p w14:paraId="5504F7AE">
            <w:pPr>
              <w:spacing w:before="48" w:after="48" w:line="240" w:lineRule="auto"/>
              <w:jc w:val="center"/>
            </w:pPr>
            <w:r>
              <w:rPr>
                <w:rFonts w:ascii="宋体" w:hAnsi="宋体" w:eastAsia="宋体" w:cs="宋体"/>
                <w:color w:val="000000"/>
                <w:sz w:val="21"/>
                <w:highlight w:val="white"/>
              </w:rPr>
              <w:t>0</w:t>
            </w:r>
          </w:p>
        </w:tc>
      </w:tr>
      <w:tr w14:paraId="42FA7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0B01453C">
            <w:pPr>
              <w:spacing w:before="48" w:after="48" w:line="240" w:lineRule="auto"/>
              <w:jc w:val="center"/>
            </w:pPr>
            <w:r>
              <w:rPr>
                <w:rFonts w:ascii="宋体" w:hAnsi="宋体" w:eastAsia="宋体" w:cs="宋体"/>
                <w:color w:val="000000"/>
                <w:sz w:val="21"/>
                <w:highlight w:val="white"/>
              </w:rPr>
              <w:t>2</w:t>
            </w:r>
          </w:p>
        </w:tc>
        <w:tc>
          <w:tcPr>
            <w:tcW w:w="360" w:type="dxa"/>
            <w:vMerge w:val="restart"/>
            <w:vAlign w:val="center"/>
          </w:tcPr>
          <w:p w14:paraId="7DB661CA">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(72分)</w:t>
            </w:r>
          </w:p>
        </w:tc>
        <w:tc>
          <w:tcPr>
            <w:tcW w:w="360" w:type="dxa"/>
            <w:vMerge w:val="restart"/>
            <w:vAlign w:val="center"/>
          </w:tcPr>
          <w:p w14:paraId="4ADBE174">
            <w:pPr>
              <w:spacing w:before="48" w:after="48" w:line="240" w:lineRule="auto"/>
              <w:jc w:val="center"/>
            </w:pPr>
            <w:r>
              <w:rPr>
                <w:rFonts w:ascii="宋体" w:hAnsi="宋体" w:eastAsia="宋体" w:cs="宋体"/>
                <w:color w:val="000000"/>
                <w:sz w:val="21"/>
                <w:highlight w:val="white"/>
              </w:rPr>
              <w:t>履约能力</w:t>
            </w:r>
          </w:p>
        </w:tc>
        <w:tc>
          <w:tcPr>
            <w:tcW w:w="360" w:type="dxa"/>
            <w:vMerge w:val="restart"/>
            <w:vAlign w:val="center"/>
          </w:tcPr>
          <w:p w14:paraId="11FBD659">
            <w:pPr>
              <w:spacing w:before="48" w:after="48" w:line="240" w:lineRule="auto"/>
              <w:jc w:val="center"/>
            </w:pPr>
            <w:r>
              <w:rPr>
                <w:rFonts w:ascii="宋体" w:hAnsi="宋体" w:eastAsia="宋体" w:cs="宋体"/>
                <w:color w:val="000000"/>
                <w:sz w:val="21"/>
                <w:highlight w:val="white"/>
              </w:rPr>
              <w:t>成功案例</w:t>
            </w:r>
          </w:p>
        </w:tc>
        <w:tc>
          <w:tcPr>
            <w:tcW w:w="360" w:type="dxa"/>
          </w:tcPr>
          <w:p w14:paraId="07D7F30D">
            <w:pPr>
              <w:spacing w:before="48" w:after="48" w:line="240" w:lineRule="auto"/>
            </w:pPr>
            <w:r>
              <w:rPr>
                <w:rFonts w:ascii="宋体" w:hAnsi="宋体" w:eastAsia="宋体" w:cs="宋体"/>
                <w:color w:val="000000"/>
                <w:sz w:val="21"/>
                <w:highlight w:val="white"/>
              </w:rPr>
              <w:t>提供2022年1月1日以来（以合同签订日期为准）独立承担实施的相似或类似项目成功案例。每提供1个得1分，最多得5分。（需提供中标通知书或合同复印件加盖公章，否则不计分）</w:t>
            </w:r>
          </w:p>
        </w:tc>
        <w:tc>
          <w:tcPr>
            <w:tcW w:w="360" w:type="dxa"/>
            <w:vMerge w:val="restart"/>
            <w:vAlign w:val="center"/>
          </w:tcPr>
          <w:p w14:paraId="12AAE244">
            <w:pPr>
              <w:spacing w:before="48" w:after="48" w:line="240" w:lineRule="auto"/>
              <w:jc w:val="center"/>
            </w:pPr>
            <w:r>
              <w:rPr>
                <w:rFonts w:ascii="宋体" w:hAnsi="宋体" w:eastAsia="宋体" w:cs="宋体"/>
                <w:color w:val="000000"/>
                <w:sz w:val="21"/>
                <w:highlight w:val="white"/>
              </w:rPr>
              <w:t>5</w:t>
            </w:r>
          </w:p>
        </w:tc>
      </w:tr>
      <w:tr w14:paraId="17C57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0BBD8BE5">
            <w:pPr>
              <w:spacing w:before="48" w:after="48" w:line="240" w:lineRule="auto"/>
              <w:jc w:val="center"/>
            </w:pPr>
            <w:r>
              <w:rPr>
                <w:rFonts w:ascii="宋体" w:hAnsi="宋体" w:eastAsia="宋体" w:cs="宋体"/>
                <w:color w:val="000000"/>
                <w:sz w:val="21"/>
                <w:highlight w:val="white"/>
              </w:rPr>
              <w:t>3</w:t>
            </w:r>
          </w:p>
        </w:tc>
        <w:tc>
          <w:tcPr>
            <w:tcW w:w="0" w:type="dxa"/>
            <w:vMerge w:val="continue"/>
            <w:vAlign w:val="center"/>
          </w:tcPr>
          <w:p w14:paraId="465B9DD7">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(72分)</w:t>
            </w:r>
          </w:p>
        </w:tc>
        <w:tc>
          <w:tcPr>
            <w:tcW w:w="0" w:type="dxa"/>
            <w:vMerge w:val="continue"/>
            <w:vAlign w:val="center"/>
          </w:tcPr>
          <w:p w14:paraId="6CCB9B5F">
            <w:pPr>
              <w:spacing w:before="48" w:after="48" w:line="240" w:lineRule="auto"/>
              <w:jc w:val="center"/>
            </w:pPr>
            <w:r>
              <w:rPr>
                <w:rFonts w:ascii="宋体" w:hAnsi="宋体" w:eastAsia="宋体" w:cs="宋体"/>
                <w:color w:val="000000"/>
                <w:sz w:val="21"/>
                <w:highlight w:val="white"/>
              </w:rPr>
              <w:t>履约能力</w:t>
            </w:r>
          </w:p>
        </w:tc>
        <w:tc>
          <w:tcPr>
            <w:tcW w:w="360" w:type="dxa"/>
            <w:vMerge w:val="restart"/>
            <w:vAlign w:val="center"/>
          </w:tcPr>
          <w:p w14:paraId="7B4440B1">
            <w:pPr>
              <w:spacing w:before="48" w:after="48" w:line="240" w:lineRule="auto"/>
              <w:jc w:val="center"/>
            </w:pPr>
            <w:r>
              <w:rPr>
                <w:rFonts w:ascii="宋体" w:hAnsi="宋体" w:eastAsia="宋体" w:cs="宋体"/>
                <w:color w:val="000000"/>
                <w:sz w:val="21"/>
                <w:highlight w:val="white"/>
              </w:rPr>
              <w:t>项目实施团队</w:t>
            </w:r>
          </w:p>
        </w:tc>
        <w:tc>
          <w:tcPr>
            <w:tcW w:w="360" w:type="dxa"/>
          </w:tcPr>
          <w:p w14:paraId="65C357D7">
            <w:pPr>
              <w:spacing w:before="48" w:after="48" w:line="240" w:lineRule="auto"/>
            </w:pPr>
            <w:r>
              <w:rPr>
                <w:rFonts w:ascii="宋体" w:hAnsi="宋体" w:eastAsia="宋体" w:cs="宋体"/>
                <w:color w:val="000000"/>
                <w:sz w:val="21"/>
                <w:highlight w:val="white"/>
              </w:rPr>
              <w:t>投入本项目的检查科室包含但不限于内科、外科、放射线科、妇科、医学影像科、医学检验科等科室，且每科室至少具备1名医师/技师，满足上述要求得2分，不满足要求的此项不得分；在满足上述要求的基础上，彩超科室每多提供1名医师/技师的加1分，累计最多加至4分。(需提供上述人员名单并加盖公章)</w:t>
            </w:r>
          </w:p>
        </w:tc>
        <w:tc>
          <w:tcPr>
            <w:tcW w:w="360" w:type="dxa"/>
            <w:vMerge w:val="restart"/>
            <w:vAlign w:val="center"/>
          </w:tcPr>
          <w:p w14:paraId="67981C99">
            <w:pPr>
              <w:spacing w:before="48" w:after="48" w:line="240" w:lineRule="auto"/>
              <w:jc w:val="center"/>
            </w:pPr>
            <w:r>
              <w:rPr>
                <w:rFonts w:ascii="宋体" w:hAnsi="宋体" w:eastAsia="宋体" w:cs="宋体"/>
                <w:color w:val="000000"/>
                <w:sz w:val="21"/>
                <w:highlight w:val="white"/>
              </w:rPr>
              <w:t>6</w:t>
            </w:r>
          </w:p>
        </w:tc>
      </w:tr>
      <w:tr w14:paraId="07B77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0A28109E">
            <w:pPr>
              <w:spacing w:before="48" w:after="48" w:line="240" w:lineRule="auto"/>
              <w:jc w:val="center"/>
            </w:pPr>
            <w:r>
              <w:rPr>
                <w:rFonts w:ascii="宋体" w:hAnsi="宋体" w:eastAsia="宋体" w:cs="宋体"/>
                <w:color w:val="000000"/>
                <w:sz w:val="21"/>
                <w:highlight w:val="white"/>
              </w:rPr>
              <w:t>4</w:t>
            </w:r>
          </w:p>
        </w:tc>
        <w:tc>
          <w:tcPr>
            <w:tcW w:w="0" w:type="dxa"/>
            <w:vMerge w:val="continue"/>
            <w:vAlign w:val="center"/>
          </w:tcPr>
          <w:p w14:paraId="510C824D">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(72分)</w:t>
            </w:r>
          </w:p>
        </w:tc>
        <w:tc>
          <w:tcPr>
            <w:tcW w:w="0" w:type="dxa"/>
            <w:vMerge w:val="continue"/>
            <w:vAlign w:val="center"/>
          </w:tcPr>
          <w:p w14:paraId="25C4974C">
            <w:pPr>
              <w:spacing w:before="48" w:after="48" w:line="240" w:lineRule="auto"/>
              <w:jc w:val="center"/>
            </w:pPr>
            <w:r>
              <w:rPr>
                <w:rFonts w:ascii="宋体" w:hAnsi="宋体" w:eastAsia="宋体" w:cs="宋体"/>
                <w:color w:val="000000"/>
                <w:sz w:val="21"/>
                <w:highlight w:val="white"/>
              </w:rPr>
              <w:t>履约能力</w:t>
            </w:r>
          </w:p>
        </w:tc>
        <w:tc>
          <w:tcPr>
            <w:tcW w:w="360" w:type="dxa"/>
            <w:vAlign w:val="center"/>
          </w:tcPr>
          <w:p w14:paraId="0448DA29">
            <w:pPr>
              <w:spacing w:before="48" w:after="48" w:line="240" w:lineRule="auto"/>
              <w:jc w:val="center"/>
            </w:pPr>
            <w:r>
              <w:rPr>
                <w:rFonts w:ascii="宋体" w:hAnsi="宋体" w:eastAsia="宋体" w:cs="宋体"/>
                <w:color w:val="000000"/>
                <w:sz w:val="21"/>
                <w:highlight w:val="white"/>
              </w:rPr>
              <w:t>场地</w:t>
            </w:r>
          </w:p>
        </w:tc>
        <w:tc>
          <w:tcPr>
            <w:tcW w:w="360" w:type="dxa"/>
          </w:tcPr>
          <w:p w14:paraId="4D2C576B">
            <w:pPr>
              <w:spacing w:before="48" w:after="48" w:line="240" w:lineRule="auto"/>
            </w:pPr>
            <w:r>
              <w:rPr>
                <w:rFonts w:ascii="宋体" w:hAnsi="宋体" w:eastAsia="宋体" w:cs="宋体"/>
                <w:color w:val="000000"/>
                <w:sz w:val="21"/>
                <w:highlight w:val="white"/>
              </w:rPr>
              <w:t>体检场所环境整洁，具有完全封闭、独立的体检空间，男女分区体检，体检区域科室标识清晰、设置合理的，得5分，不满足不得分。(提供体检中心平面示意图及标识照片并标记相应区域加盖公章)。</w:t>
            </w:r>
          </w:p>
        </w:tc>
        <w:tc>
          <w:tcPr>
            <w:tcW w:w="360" w:type="dxa"/>
            <w:vAlign w:val="center"/>
          </w:tcPr>
          <w:p w14:paraId="3A37592A">
            <w:pPr>
              <w:spacing w:before="48" w:after="48" w:line="240" w:lineRule="auto"/>
              <w:jc w:val="center"/>
            </w:pPr>
            <w:r>
              <w:rPr>
                <w:rFonts w:ascii="宋体" w:hAnsi="宋体" w:eastAsia="宋体" w:cs="宋体"/>
                <w:color w:val="000000"/>
                <w:sz w:val="21"/>
                <w:highlight w:val="white"/>
              </w:rPr>
              <w:t>5</w:t>
            </w:r>
          </w:p>
        </w:tc>
      </w:tr>
      <w:tr w14:paraId="532F4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1E3AFC9B">
            <w:pPr>
              <w:spacing w:before="48" w:after="48" w:line="240" w:lineRule="auto"/>
              <w:jc w:val="center"/>
            </w:pPr>
            <w:r>
              <w:rPr>
                <w:rFonts w:ascii="宋体" w:hAnsi="宋体" w:eastAsia="宋体" w:cs="宋体"/>
                <w:color w:val="000000"/>
                <w:sz w:val="21"/>
                <w:highlight w:val="white"/>
              </w:rPr>
              <w:t>5</w:t>
            </w:r>
          </w:p>
        </w:tc>
        <w:tc>
          <w:tcPr>
            <w:tcW w:w="0" w:type="dxa"/>
            <w:vMerge w:val="continue"/>
            <w:vAlign w:val="center"/>
          </w:tcPr>
          <w:p w14:paraId="2727F4FC">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(72分)</w:t>
            </w:r>
          </w:p>
        </w:tc>
        <w:tc>
          <w:tcPr>
            <w:tcW w:w="0" w:type="dxa"/>
            <w:vMerge w:val="continue"/>
            <w:vAlign w:val="center"/>
          </w:tcPr>
          <w:p w14:paraId="17599CCD">
            <w:pPr>
              <w:spacing w:before="48" w:after="48" w:line="240" w:lineRule="auto"/>
              <w:jc w:val="center"/>
            </w:pPr>
            <w:r>
              <w:rPr>
                <w:rFonts w:ascii="宋体" w:hAnsi="宋体" w:eastAsia="宋体" w:cs="宋体"/>
                <w:color w:val="000000"/>
                <w:sz w:val="21"/>
                <w:highlight w:val="white"/>
              </w:rPr>
              <w:t>履约能力</w:t>
            </w:r>
          </w:p>
        </w:tc>
        <w:tc>
          <w:tcPr>
            <w:tcW w:w="360" w:type="dxa"/>
            <w:vAlign w:val="center"/>
          </w:tcPr>
          <w:p w14:paraId="643E4567">
            <w:pPr>
              <w:spacing w:before="48" w:after="48" w:line="240" w:lineRule="auto"/>
              <w:jc w:val="center"/>
            </w:pPr>
            <w:r>
              <w:rPr>
                <w:rFonts w:ascii="宋体" w:hAnsi="宋体" w:eastAsia="宋体" w:cs="宋体"/>
                <w:color w:val="000000"/>
                <w:sz w:val="21"/>
                <w:highlight w:val="white"/>
              </w:rPr>
              <w:t>体检设备1</w:t>
            </w:r>
          </w:p>
        </w:tc>
        <w:tc>
          <w:tcPr>
            <w:tcW w:w="360" w:type="dxa"/>
          </w:tcPr>
          <w:p w14:paraId="1E06271D">
            <w:pPr>
              <w:spacing w:before="48" w:after="48" w:line="240" w:lineRule="auto"/>
            </w:pPr>
            <w:r>
              <w:rPr>
                <w:rFonts w:ascii="宋体" w:hAnsi="宋体" w:eastAsia="宋体" w:cs="宋体"/>
                <w:color w:val="000000"/>
                <w:sz w:val="21"/>
                <w:highlight w:val="white"/>
              </w:rPr>
              <w:t>能够提供3台CT影像设备供本项目使用，得8分；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能够提供2台CT影像设备且该设备供本项目使用，得5分；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能够提供1台CT影像设备且该设备供本项目使用，得2分；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不满足不得分。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(需提供设备图片及购置合同或租赁合同等有效证明材料或发票复印件加盖公章)</w:t>
            </w:r>
          </w:p>
        </w:tc>
        <w:tc>
          <w:tcPr>
            <w:tcW w:w="360" w:type="dxa"/>
            <w:vAlign w:val="center"/>
          </w:tcPr>
          <w:p w14:paraId="4A1CFFFA">
            <w:pPr>
              <w:spacing w:before="48" w:after="48" w:line="240" w:lineRule="auto"/>
              <w:jc w:val="center"/>
            </w:pPr>
            <w:r>
              <w:rPr>
                <w:rFonts w:ascii="宋体" w:hAnsi="宋体" w:eastAsia="宋体" w:cs="宋体"/>
                <w:color w:val="000000"/>
                <w:sz w:val="21"/>
                <w:highlight w:val="white"/>
              </w:rPr>
              <w:t>8</w:t>
            </w:r>
          </w:p>
        </w:tc>
      </w:tr>
      <w:tr w14:paraId="39F07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3FDB9E97">
            <w:pPr>
              <w:spacing w:before="48" w:after="48" w:line="240" w:lineRule="auto"/>
              <w:jc w:val="center"/>
            </w:pPr>
            <w:r>
              <w:rPr>
                <w:rFonts w:ascii="宋体" w:hAnsi="宋体" w:eastAsia="宋体" w:cs="宋体"/>
                <w:color w:val="000000"/>
                <w:sz w:val="21"/>
                <w:highlight w:val="white"/>
              </w:rPr>
              <w:t>6</w:t>
            </w:r>
          </w:p>
        </w:tc>
        <w:tc>
          <w:tcPr>
            <w:tcW w:w="0" w:type="dxa"/>
            <w:vMerge w:val="continue"/>
            <w:vAlign w:val="center"/>
          </w:tcPr>
          <w:p w14:paraId="47A91F9D">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(72分)</w:t>
            </w:r>
          </w:p>
        </w:tc>
        <w:tc>
          <w:tcPr>
            <w:tcW w:w="0" w:type="dxa"/>
            <w:vMerge w:val="continue"/>
            <w:vAlign w:val="center"/>
          </w:tcPr>
          <w:p w14:paraId="2748B8BF">
            <w:pPr>
              <w:spacing w:before="48" w:after="48" w:line="240" w:lineRule="auto"/>
              <w:jc w:val="center"/>
            </w:pPr>
            <w:r>
              <w:rPr>
                <w:rFonts w:ascii="宋体" w:hAnsi="宋体" w:eastAsia="宋体" w:cs="宋体"/>
                <w:color w:val="000000"/>
                <w:sz w:val="21"/>
                <w:highlight w:val="white"/>
              </w:rPr>
              <w:t>履约能力</w:t>
            </w:r>
          </w:p>
        </w:tc>
        <w:tc>
          <w:tcPr>
            <w:tcW w:w="360" w:type="dxa"/>
            <w:vAlign w:val="center"/>
          </w:tcPr>
          <w:p w14:paraId="6758E21A">
            <w:pPr>
              <w:spacing w:before="48" w:after="48" w:line="240" w:lineRule="auto"/>
              <w:jc w:val="center"/>
            </w:pPr>
            <w:r>
              <w:rPr>
                <w:rFonts w:ascii="宋体" w:hAnsi="宋体" w:eastAsia="宋体" w:cs="宋体"/>
                <w:color w:val="000000"/>
                <w:sz w:val="21"/>
                <w:highlight w:val="white"/>
              </w:rPr>
              <w:t>体检设备2</w:t>
            </w:r>
          </w:p>
        </w:tc>
        <w:tc>
          <w:tcPr>
            <w:tcW w:w="360" w:type="dxa"/>
          </w:tcPr>
          <w:p w14:paraId="00021299">
            <w:pPr>
              <w:spacing w:before="48" w:after="48" w:line="240" w:lineRule="auto"/>
            </w:pPr>
            <w:r>
              <w:rPr>
                <w:rFonts w:ascii="宋体" w:hAnsi="宋体" w:eastAsia="宋体" w:cs="宋体"/>
                <w:color w:val="000000"/>
                <w:sz w:val="21"/>
                <w:highlight w:val="white"/>
              </w:rPr>
              <w:t>能够提供2台核磁设备供本项目使用，得6分；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能够提供1台核磁设备供本项目使用，得3分；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不满足不得分。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(需提供设备图片及购置合同或租赁合同等有效证明材料或发票复印件加盖公章)</w:t>
            </w:r>
          </w:p>
        </w:tc>
        <w:tc>
          <w:tcPr>
            <w:tcW w:w="360" w:type="dxa"/>
            <w:vAlign w:val="center"/>
          </w:tcPr>
          <w:p w14:paraId="2DF0C2AF">
            <w:pPr>
              <w:spacing w:before="48" w:after="48" w:line="240" w:lineRule="auto"/>
              <w:jc w:val="center"/>
            </w:pPr>
            <w:r>
              <w:rPr>
                <w:rFonts w:ascii="宋体" w:hAnsi="宋体" w:eastAsia="宋体" w:cs="宋体"/>
                <w:color w:val="000000"/>
                <w:sz w:val="21"/>
                <w:highlight w:val="white"/>
              </w:rPr>
              <w:t>6</w:t>
            </w:r>
          </w:p>
        </w:tc>
      </w:tr>
      <w:tr w14:paraId="62BD0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4048DD05">
            <w:pPr>
              <w:spacing w:before="48" w:after="48" w:line="240" w:lineRule="auto"/>
              <w:jc w:val="center"/>
            </w:pPr>
            <w:r>
              <w:rPr>
                <w:rFonts w:ascii="宋体" w:hAnsi="宋体" w:eastAsia="宋体" w:cs="宋体"/>
                <w:color w:val="000000"/>
                <w:sz w:val="21"/>
                <w:highlight w:val="white"/>
              </w:rPr>
              <w:t>7</w:t>
            </w:r>
          </w:p>
        </w:tc>
        <w:tc>
          <w:tcPr>
            <w:tcW w:w="0" w:type="dxa"/>
            <w:vMerge w:val="continue"/>
            <w:vAlign w:val="center"/>
          </w:tcPr>
          <w:p w14:paraId="24C00DD5">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(72分)</w:t>
            </w:r>
          </w:p>
        </w:tc>
        <w:tc>
          <w:tcPr>
            <w:tcW w:w="0" w:type="dxa"/>
            <w:vMerge w:val="continue"/>
            <w:vAlign w:val="center"/>
          </w:tcPr>
          <w:p w14:paraId="65BB15B2">
            <w:pPr>
              <w:spacing w:before="48" w:after="48" w:line="240" w:lineRule="auto"/>
              <w:jc w:val="center"/>
            </w:pPr>
            <w:r>
              <w:rPr>
                <w:rFonts w:ascii="宋体" w:hAnsi="宋体" w:eastAsia="宋体" w:cs="宋体"/>
                <w:color w:val="000000"/>
                <w:sz w:val="21"/>
                <w:highlight w:val="white"/>
              </w:rPr>
              <w:t>履约能力</w:t>
            </w:r>
          </w:p>
        </w:tc>
        <w:tc>
          <w:tcPr>
            <w:tcW w:w="360" w:type="dxa"/>
            <w:vAlign w:val="center"/>
          </w:tcPr>
          <w:p w14:paraId="17877469">
            <w:pPr>
              <w:spacing w:before="48" w:after="48" w:line="240" w:lineRule="auto"/>
              <w:jc w:val="center"/>
            </w:pPr>
            <w:r>
              <w:rPr>
                <w:rFonts w:ascii="宋体" w:hAnsi="宋体" w:eastAsia="宋体" w:cs="宋体"/>
                <w:color w:val="000000"/>
                <w:sz w:val="21"/>
                <w:highlight w:val="white"/>
              </w:rPr>
              <w:t>体检设备3</w:t>
            </w:r>
          </w:p>
        </w:tc>
        <w:tc>
          <w:tcPr>
            <w:tcW w:w="360" w:type="dxa"/>
          </w:tcPr>
          <w:p w14:paraId="379D53E5">
            <w:pPr>
              <w:spacing w:before="48" w:after="48" w:line="240" w:lineRule="auto"/>
            </w:pPr>
            <w:r>
              <w:rPr>
                <w:rFonts w:ascii="宋体" w:hAnsi="宋体" w:eastAsia="宋体" w:cs="宋体"/>
                <w:color w:val="000000"/>
                <w:sz w:val="21"/>
                <w:highlight w:val="white"/>
              </w:rPr>
              <w:t>能够提供15台及以上彩超设备供本项目使用，得8分；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能够提供8-14台彩超设备且该设备供本项目使用，得5分；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能够提供1-7台彩超设备且该设备供本项目使用，得2分；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不满足不得分。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(需提供设备图片及购置合同或租赁合同等有效证明材料或发票复印件加盖公章)</w:t>
            </w:r>
          </w:p>
        </w:tc>
        <w:tc>
          <w:tcPr>
            <w:tcW w:w="360" w:type="dxa"/>
            <w:vAlign w:val="center"/>
          </w:tcPr>
          <w:p w14:paraId="4D0FECD5">
            <w:pPr>
              <w:spacing w:before="48" w:after="48" w:line="240" w:lineRule="auto"/>
              <w:jc w:val="center"/>
            </w:pPr>
            <w:r>
              <w:rPr>
                <w:rFonts w:ascii="宋体" w:hAnsi="宋体" w:eastAsia="宋体" w:cs="宋体"/>
                <w:color w:val="000000"/>
                <w:sz w:val="21"/>
                <w:highlight w:val="white"/>
              </w:rPr>
              <w:t>8</w:t>
            </w:r>
          </w:p>
        </w:tc>
      </w:tr>
      <w:tr w14:paraId="6B557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62427CB1">
            <w:pPr>
              <w:spacing w:before="48" w:after="48" w:line="240" w:lineRule="auto"/>
              <w:jc w:val="center"/>
            </w:pPr>
            <w:r>
              <w:rPr>
                <w:rFonts w:ascii="宋体" w:hAnsi="宋体" w:eastAsia="宋体" w:cs="宋体"/>
                <w:color w:val="000000"/>
                <w:sz w:val="21"/>
                <w:highlight w:val="white"/>
              </w:rPr>
              <w:t>8</w:t>
            </w:r>
          </w:p>
        </w:tc>
        <w:tc>
          <w:tcPr>
            <w:tcW w:w="0" w:type="dxa"/>
            <w:vMerge w:val="continue"/>
            <w:vAlign w:val="center"/>
          </w:tcPr>
          <w:p w14:paraId="235A3A5D">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(72分)</w:t>
            </w:r>
          </w:p>
        </w:tc>
        <w:tc>
          <w:tcPr>
            <w:tcW w:w="0" w:type="dxa"/>
            <w:vMerge w:val="continue"/>
            <w:vAlign w:val="center"/>
          </w:tcPr>
          <w:p w14:paraId="718E12E9">
            <w:pPr>
              <w:spacing w:before="48" w:after="48" w:line="240" w:lineRule="auto"/>
              <w:jc w:val="center"/>
            </w:pPr>
            <w:r>
              <w:rPr>
                <w:rFonts w:ascii="宋体" w:hAnsi="宋体" w:eastAsia="宋体" w:cs="宋体"/>
                <w:color w:val="000000"/>
                <w:sz w:val="21"/>
                <w:highlight w:val="white"/>
              </w:rPr>
              <w:t>履约能力</w:t>
            </w:r>
          </w:p>
        </w:tc>
        <w:tc>
          <w:tcPr>
            <w:tcW w:w="360" w:type="dxa"/>
            <w:vAlign w:val="center"/>
          </w:tcPr>
          <w:p w14:paraId="002B571E">
            <w:pPr>
              <w:spacing w:before="48" w:after="48" w:line="240" w:lineRule="auto"/>
              <w:jc w:val="center"/>
            </w:pPr>
            <w:r>
              <w:rPr>
                <w:rFonts w:ascii="宋体" w:hAnsi="宋体" w:eastAsia="宋体" w:cs="宋体"/>
                <w:color w:val="000000"/>
                <w:sz w:val="21"/>
                <w:highlight w:val="white"/>
              </w:rPr>
              <w:t>体检设备4</w:t>
            </w:r>
          </w:p>
        </w:tc>
        <w:tc>
          <w:tcPr>
            <w:tcW w:w="360" w:type="dxa"/>
          </w:tcPr>
          <w:p w14:paraId="00F8D0A5">
            <w:pPr>
              <w:spacing w:before="48" w:after="48" w:line="240" w:lineRule="auto"/>
            </w:pPr>
            <w:r>
              <w:rPr>
                <w:rFonts w:ascii="宋体" w:hAnsi="宋体" w:eastAsia="宋体" w:cs="宋体"/>
                <w:color w:val="000000"/>
                <w:sz w:val="21"/>
                <w:highlight w:val="white"/>
              </w:rPr>
              <w:t>能够提供2套及以上DR机(数字X光机),得6分；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能够提供1套DR机(数字X光机),得3分；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不满足不得分。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(需提供设备图片及购置合同或租赁合同等有效证明材料或发票复印件加盖公章)</w:t>
            </w:r>
          </w:p>
        </w:tc>
        <w:tc>
          <w:tcPr>
            <w:tcW w:w="360" w:type="dxa"/>
            <w:vAlign w:val="center"/>
          </w:tcPr>
          <w:p w14:paraId="7FD3412A">
            <w:pPr>
              <w:spacing w:before="48" w:after="48" w:line="240" w:lineRule="auto"/>
              <w:jc w:val="center"/>
            </w:pPr>
            <w:r>
              <w:rPr>
                <w:rFonts w:ascii="宋体" w:hAnsi="宋体" w:eastAsia="宋体" w:cs="宋体"/>
                <w:color w:val="000000"/>
                <w:sz w:val="21"/>
                <w:highlight w:val="white"/>
              </w:rPr>
              <w:t>6</w:t>
            </w:r>
          </w:p>
        </w:tc>
      </w:tr>
      <w:tr w14:paraId="413E3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081F3511">
            <w:pPr>
              <w:spacing w:before="48" w:after="48" w:line="240" w:lineRule="auto"/>
              <w:jc w:val="center"/>
            </w:pPr>
            <w:r>
              <w:rPr>
                <w:rFonts w:ascii="宋体" w:hAnsi="宋体" w:eastAsia="宋体" w:cs="宋体"/>
                <w:color w:val="000000"/>
                <w:sz w:val="21"/>
                <w:highlight w:val="white"/>
              </w:rPr>
              <w:t>9</w:t>
            </w:r>
          </w:p>
        </w:tc>
        <w:tc>
          <w:tcPr>
            <w:tcW w:w="0" w:type="dxa"/>
            <w:vMerge w:val="continue"/>
            <w:vAlign w:val="center"/>
          </w:tcPr>
          <w:p w14:paraId="6BE3FD4C">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(72分)</w:t>
            </w:r>
          </w:p>
        </w:tc>
        <w:tc>
          <w:tcPr>
            <w:tcW w:w="0" w:type="dxa"/>
            <w:vMerge w:val="continue"/>
            <w:vAlign w:val="center"/>
          </w:tcPr>
          <w:p w14:paraId="4D6239CE">
            <w:pPr>
              <w:spacing w:before="48" w:after="48" w:line="240" w:lineRule="auto"/>
              <w:jc w:val="center"/>
            </w:pPr>
            <w:r>
              <w:rPr>
                <w:rFonts w:ascii="宋体" w:hAnsi="宋体" w:eastAsia="宋体" w:cs="宋体"/>
                <w:color w:val="000000"/>
                <w:sz w:val="21"/>
                <w:highlight w:val="white"/>
              </w:rPr>
              <w:t>履约能力</w:t>
            </w:r>
          </w:p>
        </w:tc>
        <w:tc>
          <w:tcPr>
            <w:tcW w:w="360" w:type="dxa"/>
            <w:vAlign w:val="center"/>
          </w:tcPr>
          <w:p w14:paraId="41376A3B">
            <w:pPr>
              <w:spacing w:before="48" w:after="48" w:line="240" w:lineRule="auto"/>
              <w:jc w:val="center"/>
            </w:pPr>
            <w:r>
              <w:rPr>
                <w:rFonts w:ascii="宋体" w:hAnsi="宋体" w:eastAsia="宋体" w:cs="宋体"/>
                <w:color w:val="000000"/>
                <w:sz w:val="21"/>
                <w:highlight w:val="white"/>
              </w:rPr>
              <w:t>体检设备5</w:t>
            </w:r>
          </w:p>
        </w:tc>
        <w:tc>
          <w:tcPr>
            <w:tcW w:w="360" w:type="dxa"/>
          </w:tcPr>
          <w:p w14:paraId="630F4269">
            <w:pPr>
              <w:spacing w:before="48" w:after="48" w:line="240" w:lineRule="auto"/>
            </w:pPr>
            <w:r>
              <w:rPr>
                <w:rFonts w:ascii="宋体" w:hAnsi="宋体" w:eastAsia="宋体" w:cs="宋体"/>
                <w:color w:val="000000"/>
                <w:sz w:val="21"/>
                <w:highlight w:val="white"/>
              </w:rPr>
              <w:t>能够提供全自动生化免疫流水线（全自动生化分析、化学发光），并进行化学分析，满足得6分，不满足不得分。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(需提供设备图片及购置合同或租赁合同等有效证明材料或发票复印件加盖公章)</w:t>
            </w:r>
          </w:p>
        </w:tc>
        <w:tc>
          <w:tcPr>
            <w:tcW w:w="360" w:type="dxa"/>
            <w:vAlign w:val="center"/>
          </w:tcPr>
          <w:p w14:paraId="27EE7362">
            <w:pPr>
              <w:spacing w:before="48" w:after="48" w:line="240" w:lineRule="auto"/>
              <w:jc w:val="center"/>
            </w:pPr>
            <w:r>
              <w:rPr>
                <w:rFonts w:ascii="宋体" w:hAnsi="宋体" w:eastAsia="宋体" w:cs="宋体"/>
                <w:color w:val="000000"/>
                <w:sz w:val="21"/>
                <w:highlight w:val="white"/>
              </w:rPr>
              <w:t>6</w:t>
            </w:r>
          </w:p>
        </w:tc>
      </w:tr>
      <w:tr w14:paraId="335F9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2FCA66FA">
            <w:pPr>
              <w:spacing w:before="48" w:after="48" w:line="240" w:lineRule="auto"/>
              <w:jc w:val="center"/>
            </w:pPr>
            <w:r>
              <w:rPr>
                <w:rFonts w:ascii="宋体" w:hAnsi="宋体" w:eastAsia="宋体" w:cs="宋体"/>
                <w:color w:val="000000"/>
                <w:sz w:val="21"/>
                <w:highlight w:val="white"/>
              </w:rPr>
              <w:t>10</w:t>
            </w:r>
          </w:p>
        </w:tc>
        <w:tc>
          <w:tcPr>
            <w:tcW w:w="0" w:type="dxa"/>
            <w:vMerge w:val="continue"/>
            <w:vAlign w:val="center"/>
          </w:tcPr>
          <w:p w14:paraId="4355A19E">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(72分)</w:t>
            </w:r>
          </w:p>
        </w:tc>
        <w:tc>
          <w:tcPr>
            <w:tcW w:w="0" w:type="dxa"/>
            <w:vMerge w:val="continue"/>
            <w:vAlign w:val="center"/>
          </w:tcPr>
          <w:p w14:paraId="0EB9624C">
            <w:pPr>
              <w:spacing w:before="48" w:after="48" w:line="240" w:lineRule="auto"/>
              <w:jc w:val="center"/>
            </w:pPr>
            <w:r>
              <w:rPr>
                <w:rFonts w:ascii="宋体" w:hAnsi="宋体" w:eastAsia="宋体" w:cs="宋体"/>
                <w:color w:val="000000"/>
                <w:sz w:val="21"/>
                <w:highlight w:val="white"/>
              </w:rPr>
              <w:t>履约能力</w:t>
            </w:r>
          </w:p>
        </w:tc>
        <w:tc>
          <w:tcPr>
            <w:tcW w:w="360" w:type="dxa"/>
            <w:vAlign w:val="center"/>
          </w:tcPr>
          <w:p w14:paraId="4720764D">
            <w:pPr>
              <w:spacing w:before="48" w:after="48" w:line="240" w:lineRule="auto"/>
              <w:jc w:val="center"/>
            </w:pPr>
            <w:r>
              <w:rPr>
                <w:rFonts w:ascii="宋体" w:hAnsi="宋体" w:eastAsia="宋体" w:cs="宋体"/>
                <w:color w:val="000000"/>
                <w:sz w:val="21"/>
                <w:highlight w:val="white"/>
              </w:rPr>
              <w:t>体检设备6</w:t>
            </w:r>
          </w:p>
        </w:tc>
        <w:tc>
          <w:tcPr>
            <w:tcW w:w="360" w:type="dxa"/>
          </w:tcPr>
          <w:p w14:paraId="6F379365">
            <w:pPr>
              <w:spacing w:before="48" w:after="48" w:line="240" w:lineRule="auto"/>
            </w:pPr>
            <w:r>
              <w:rPr>
                <w:rFonts w:ascii="宋体" w:hAnsi="宋体" w:eastAsia="宋体" w:cs="宋体"/>
                <w:color w:val="000000"/>
                <w:sz w:val="21"/>
                <w:highlight w:val="white"/>
              </w:rPr>
              <w:t>能够提供动脉硬化检测仪、超声骨密度仪、幽门螺旋杆菌检测仪、人体成分分析仪等仪器，全部满足，得6分，不满足不得分。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(需提供设备图片及购置合同或租赁合同等有效证明材料或发票复印件加盖公章)</w:t>
            </w:r>
          </w:p>
        </w:tc>
        <w:tc>
          <w:tcPr>
            <w:tcW w:w="360" w:type="dxa"/>
            <w:vAlign w:val="center"/>
          </w:tcPr>
          <w:p w14:paraId="747F588C">
            <w:pPr>
              <w:spacing w:before="48" w:after="48" w:line="240" w:lineRule="auto"/>
              <w:jc w:val="center"/>
            </w:pPr>
            <w:r>
              <w:rPr>
                <w:rFonts w:ascii="宋体" w:hAnsi="宋体" w:eastAsia="宋体" w:cs="宋体"/>
                <w:color w:val="000000"/>
                <w:sz w:val="21"/>
                <w:highlight w:val="white"/>
              </w:rPr>
              <w:t>6</w:t>
            </w:r>
          </w:p>
        </w:tc>
      </w:tr>
      <w:tr w14:paraId="3B47B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0DD49C9A">
            <w:pPr>
              <w:spacing w:before="48" w:after="48" w:line="240" w:lineRule="auto"/>
              <w:jc w:val="center"/>
            </w:pPr>
            <w:r>
              <w:rPr>
                <w:rFonts w:ascii="宋体" w:hAnsi="宋体" w:eastAsia="宋体" w:cs="宋体"/>
                <w:color w:val="000000"/>
                <w:sz w:val="21"/>
                <w:highlight w:val="white"/>
              </w:rPr>
              <w:t>11</w:t>
            </w:r>
          </w:p>
        </w:tc>
        <w:tc>
          <w:tcPr>
            <w:tcW w:w="0" w:type="dxa"/>
            <w:vMerge w:val="continue"/>
            <w:vAlign w:val="center"/>
          </w:tcPr>
          <w:p w14:paraId="5E01C4BD">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(72分)</w:t>
            </w:r>
          </w:p>
        </w:tc>
        <w:tc>
          <w:tcPr>
            <w:tcW w:w="0" w:type="dxa"/>
            <w:vMerge w:val="continue"/>
            <w:vAlign w:val="center"/>
          </w:tcPr>
          <w:p w14:paraId="205DB28F">
            <w:pPr>
              <w:spacing w:before="48" w:after="48" w:line="240" w:lineRule="auto"/>
              <w:jc w:val="center"/>
            </w:pPr>
            <w:r>
              <w:rPr>
                <w:rFonts w:ascii="宋体" w:hAnsi="宋体" w:eastAsia="宋体" w:cs="宋体"/>
                <w:color w:val="000000"/>
                <w:sz w:val="21"/>
                <w:highlight w:val="white"/>
              </w:rPr>
              <w:t>履约能力</w:t>
            </w:r>
          </w:p>
        </w:tc>
        <w:tc>
          <w:tcPr>
            <w:tcW w:w="360" w:type="dxa"/>
            <w:vAlign w:val="center"/>
          </w:tcPr>
          <w:p w14:paraId="2B79EAA8">
            <w:pPr>
              <w:spacing w:before="48" w:after="48" w:line="240" w:lineRule="auto"/>
              <w:jc w:val="center"/>
            </w:pPr>
            <w:r>
              <w:rPr>
                <w:rFonts w:ascii="宋体" w:hAnsi="宋体" w:eastAsia="宋体" w:cs="宋体"/>
                <w:color w:val="000000"/>
                <w:sz w:val="21"/>
                <w:highlight w:val="white"/>
              </w:rPr>
              <w:t>体检后续服务</w:t>
            </w:r>
          </w:p>
        </w:tc>
        <w:tc>
          <w:tcPr>
            <w:tcW w:w="360" w:type="dxa"/>
          </w:tcPr>
          <w:p w14:paraId="6023370F">
            <w:pPr>
              <w:spacing w:before="48" w:after="48" w:line="240" w:lineRule="auto"/>
            </w:pPr>
            <w:r>
              <w:rPr>
                <w:rFonts w:ascii="宋体" w:hAnsi="宋体" w:eastAsia="宋体" w:cs="宋体"/>
                <w:color w:val="000000"/>
                <w:sz w:val="21"/>
                <w:highlight w:val="white"/>
              </w:rPr>
              <w:t>根据投标人能够提供的体检后续服务进行评审，</w:t>
            </w:r>
            <w:r>
              <w:rPr>
                <w:rFonts w:ascii="宋体" w:hAnsi="宋体" w:eastAsia="宋体" w:cs="宋体"/>
                <w:color w:val="000000"/>
                <w:sz w:val="21"/>
                <w:highlight w:val="white"/>
              </w:rPr>
              <w:br w:type="textWrapping"/>
            </w:r>
            <w:r>
              <w:rPr>
                <w:rFonts w:ascii="宋体" w:hAnsi="宋体" w:eastAsia="宋体" w:cs="宋体"/>
                <w:color w:val="000000"/>
                <w:sz w:val="21"/>
                <w:highlight w:val="white"/>
              </w:rPr>
              <w:t>（1）承诺能够提供就医安排、咨询等体检后续服务的，得2分；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（2）承诺能够提供免费营养早餐的，得2分；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（3）承诺能够提供电子报告查询、体检报告邮寄，并承诺在10个工作日内寄出的，得2分；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（4）承诺能够为体检人员提供免费停车服务的，得2分。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（需提供具体相关体检后续服务承诺书，否则不得分）</w:t>
            </w:r>
          </w:p>
        </w:tc>
        <w:tc>
          <w:tcPr>
            <w:tcW w:w="360" w:type="dxa"/>
            <w:vAlign w:val="center"/>
          </w:tcPr>
          <w:p w14:paraId="0F832561">
            <w:pPr>
              <w:spacing w:before="48" w:after="48" w:line="240" w:lineRule="auto"/>
              <w:jc w:val="center"/>
            </w:pPr>
            <w:r>
              <w:rPr>
                <w:rFonts w:ascii="宋体" w:hAnsi="宋体" w:eastAsia="宋体" w:cs="宋体"/>
                <w:color w:val="000000"/>
                <w:sz w:val="21"/>
                <w:highlight w:val="white"/>
              </w:rPr>
              <w:t>8</w:t>
            </w:r>
          </w:p>
        </w:tc>
      </w:tr>
      <w:tr w14:paraId="57165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2065F258">
            <w:pPr>
              <w:spacing w:before="48" w:after="48" w:line="240" w:lineRule="auto"/>
              <w:jc w:val="center"/>
            </w:pPr>
            <w:r>
              <w:rPr>
                <w:rFonts w:ascii="宋体" w:hAnsi="宋体" w:eastAsia="宋体" w:cs="宋体"/>
                <w:color w:val="000000"/>
                <w:sz w:val="21"/>
                <w:highlight w:val="white"/>
              </w:rPr>
              <w:t>12</w:t>
            </w:r>
          </w:p>
        </w:tc>
        <w:tc>
          <w:tcPr>
            <w:tcW w:w="0" w:type="dxa"/>
            <w:vMerge w:val="continue"/>
            <w:vAlign w:val="center"/>
          </w:tcPr>
          <w:p w14:paraId="3F74CC71">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(72分)</w:t>
            </w:r>
          </w:p>
        </w:tc>
        <w:tc>
          <w:tcPr>
            <w:tcW w:w="0" w:type="dxa"/>
            <w:vMerge w:val="continue"/>
            <w:vAlign w:val="center"/>
          </w:tcPr>
          <w:p w14:paraId="174B4E5D">
            <w:pPr>
              <w:spacing w:before="48" w:after="48" w:line="240" w:lineRule="auto"/>
              <w:jc w:val="center"/>
            </w:pPr>
            <w:r>
              <w:rPr>
                <w:rFonts w:ascii="宋体" w:hAnsi="宋体" w:eastAsia="宋体" w:cs="宋体"/>
                <w:color w:val="000000"/>
                <w:sz w:val="21"/>
                <w:highlight w:val="white"/>
              </w:rPr>
              <w:t>履约能力</w:t>
            </w:r>
          </w:p>
        </w:tc>
        <w:tc>
          <w:tcPr>
            <w:tcW w:w="360" w:type="dxa"/>
            <w:vAlign w:val="center"/>
          </w:tcPr>
          <w:p w14:paraId="0FE3C291">
            <w:pPr>
              <w:spacing w:before="48" w:after="48" w:line="240" w:lineRule="auto"/>
              <w:jc w:val="center"/>
            </w:pPr>
            <w:r>
              <w:rPr>
                <w:rFonts w:ascii="宋体" w:hAnsi="宋体" w:eastAsia="宋体" w:cs="宋体"/>
                <w:color w:val="000000"/>
                <w:sz w:val="21"/>
                <w:highlight w:val="white"/>
              </w:rPr>
              <w:t>特色服务</w:t>
            </w:r>
          </w:p>
        </w:tc>
        <w:tc>
          <w:tcPr>
            <w:tcW w:w="360" w:type="dxa"/>
          </w:tcPr>
          <w:p w14:paraId="79B8FE13">
            <w:pPr>
              <w:spacing w:before="48" w:after="48" w:line="240" w:lineRule="auto"/>
            </w:pPr>
            <w:r>
              <w:rPr>
                <w:rFonts w:ascii="宋体" w:hAnsi="宋体" w:eastAsia="宋体" w:cs="宋体"/>
                <w:color w:val="000000"/>
                <w:sz w:val="21"/>
                <w:highlight w:val="white"/>
              </w:rPr>
              <w:t>投标人承诺在常规体检项目的基础上，能够提供无痛胃镜和无痛肠镜检查，并保证全部体检及检查项目均在同一体检中心或体检机构内完成的，得8分。（需提供具体特色服务承诺书，未提供承诺不得分）</w:t>
            </w:r>
          </w:p>
        </w:tc>
        <w:tc>
          <w:tcPr>
            <w:tcW w:w="360" w:type="dxa"/>
            <w:vAlign w:val="center"/>
          </w:tcPr>
          <w:p w14:paraId="0DC759CF">
            <w:pPr>
              <w:spacing w:before="48" w:after="48" w:line="240" w:lineRule="auto"/>
              <w:jc w:val="center"/>
            </w:pPr>
            <w:r>
              <w:rPr>
                <w:rFonts w:ascii="宋体" w:hAnsi="宋体" w:eastAsia="宋体" w:cs="宋体"/>
                <w:color w:val="000000"/>
                <w:sz w:val="21"/>
                <w:highlight w:val="white"/>
              </w:rPr>
              <w:t>8</w:t>
            </w:r>
          </w:p>
        </w:tc>
      </w:tr>
      <w:tr w14:paraId="3AACA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3F25FF93">
            <w:pPr>
              <w:spacing w:before="48" w:after="48" w:line="240" w:lineRule="auto"/>
              <w:jc w:val="center"/>
            </w:pPr>
            <w:r>
              <w:rPr>
                <w:rFonts w:ascii="宋体" w:hAnsi="宋体" w:eastAsia="宋体" w:cs="宋体"/>
                <w:color w:val="000000"/>
                <w:sz w:val="21"/>
                <w:highlight w:val="white"/>
              </w:rPr>
              <w:t>13</w:t>
            </w:r>
          </w:p>
        </w:tc>
        <w:tc>
          <w:tcPr>
            <w:tcW w:w="360" w:type="dxa"/>
            <w:vMerge w:val="restart"/>
            <w:vAlign w:val="center"/>
          </w:tcPr>
          <w:p w14:paraId="7EFAF9C6">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(28分)</w:t>
            </w:r>
          </w:p>
        </w:tc>
        <w:tc>
          <w:tcPr>
            <w:tcW w:w="360" w:type="dxa"/>
            <w:vMerge w:val="restart"/>
            <w:vAlign w:val="center"/>
          </w:tcPr>
          <w:p w14:paraId="17E18A34">
            <w:pPr>
              <w:spacing w:before="48" w:after="48" w:line="240" w:lineRule="auto"/>
              <w:jc w:val="center"/>
            </w:pPr>
            <w:r>
              <w:rPr>
                <w:rFonts w:ascii="宋体" w:hAnsi="宋体" w:eastAsia="宋体" w:cs="宋体"/>
                <w:color w:val="000000"/>
                <w:sz w:val="21"/>
                <w:highlight w:val="white"/>
              </w:rPr>
              <w:t>技术和服务水平</w:t>
            </w:r>
          </w:p>
        </w:tc>
        <w:tc>
          <w:tcPr>
            <w:tcW w:w="360" w:type="dxa"/>
            <w:vAlign w:val="center"/>
          </w:tcPr>
          <w:p w14:paraId="009AD5B6">
            <w:pPr>
              <w:spacing w:before="48" w:after="48" w:line="240" w:lineRule="auto"/>
              <w:jc w:val="center"/>
            </w:pPr>
            <w:r>
              <w:rPr>
                <w:rFonts w:ascii="宋体" w:hAnsi="宋体" w:eastAsia="宋体" w:cs="宋体"/>
                <w:color w:val="000000"/>
                <w:sz w:val="21"/>
                <w:highlight w:val="white"/>
              </w:rPr>
              <w:t>定制体检套餐</w:t>
            </w:r>
          </w:p>
        </w:tc>
        <w:tc>
          <w:tcPr>
            <w:tcW w:w="360" w:type="dxa"/>
          </w:tcPr>
          <w:p w14:paraId="65E0CCC0">
            <w:pPr>
              <w:spacing w:before="48" w:after="48" w:line="240" w:lineRule="auto"/>
            </w:pPr>
            <w:r>
              <w:rPr>
                <w:rFonts w:ascii="宋体" w:hAnsi="宋体" w:eastAsia="宋体" w:cs="宋体"/>
                <w:color w:val="000000"/>
                <w:sz w:val="21"/>
                <w:highlight w:val="white"/>
              </w:rPr>
              <w:t>根据不同年龄、性别，分别制定体检套餐，每份套餐设定内容完整，体检项目全面、可行性强、性价比高、优于体检套餐表（男）和体检套餐表（女）得8分；内容比较完整，体检项目不十分全面，可行性较强，性价比一般、较优于体检套餐表（男）和体检套餐表（女）得6分；套餐设定内容不全，体检项目不全面、可行性较低、性价比较低、不优于体检套餐表（男）和体检套餐表（女）得4分；套餐定制未提供不得分。</w:t>
            </w:r>
            <w:r>
              <w:rPr>
                <w:rFonts w:ascii="宋体" w:hAnsi="宋体" w:eastAsia="宋体" w:cs="宋体"/>
                <w:color w:val="000000"/>
                <w:sz w:val="21"/>
                <w:highlight w:val="white"/>
              </w:rPr>
              <w:br w:type="textWrapping"/>
            </w:r>
            <w:r>
              <w:rPr>
                <w:rFonts w:ascii="宋体" w:hAnsi="宋体" w:eastAsia="宋体" w:cs="宋体"/>
                <w:color w:val="000000"/>
                <w:sz w:val="21"/>
                <w:highlight w:val="white"/>
              </w:rPr>
              <w:t>（需提供体检套餐表（男）和体检套餐表（女）清单并加盖公章）</w:t>
            </w:r>
          </w:p>
        </w:tc>
        <w:tc>
          <w:tcPr>
            <w:tcW w:w="360" w:type="dxa"/>
            <w:vAlign w:val="center"/>
          </w:tcPr>
          <w:p w14:paraId="623F4F75">
            <w:pPr>
              <w:spacing w:before="48" w:after="48" w:line="240" w:lineRule="auto"/>
              <w:jc w:val="center"/>
            </w:pPr>
            <w:r>
              <w:rPr>
                <w:rFonts w:ascii="宋体" w:hAnsi="宋体" w:eastAsia="宋体" w:cs="宋体"/>
                <w:color w:val="000000"/>
                <w:sz w:val="21"/>
                <w:highlight w:val="white"/>
              </w:rPr>
              <w:t>8</w:t>
            </w:r>
          </w:p>
        </w:tc>
      </w:tr>
      <w:tr w14:paraId="3FA26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170F4FBE">
            <w:pPr>
              <w:spacing w:before="48" w:after="48" w:line="240" w:lineRule="auto"/>
              <w:jc w:val="center"/>
            </w:pPr>
            <w:r>
              <w:rPr>
                <w:rFonts w:ascii="宋体" w:hAnsi="宋体" w:eastAsia="宋体" w:cs="宋体"/>
                <w:color w:val="000000"/>
                <w:sz w:val="21"/>
                <w:highlight w:val="white"/>
              </w:rPr>
              <w:t>14</w:t>
            </w:r>
          </w:p>
        </w:tc>
        <w:tc>
          <w:tcPr>
            <w:tcW w:w="0" w:type="dxa"/>
            <w:vMerge w:val="continue"/>
            <w:vAlign w:val="center"/>
          </w:tcPr>
          <w:p w14:paraId="6447F138">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(28分)</w:t>
            </w:r>
          </w:p>
        </w:tc>
        <w:tc>
          <w:tcPr>
            <w:tcW w:w="0" w:type="dxa"/>
            <w:vMerge w:val="continue"/>
            <w:vAlign w:val="center"/>
          </w:tcPr>
          <w:p w14:paraId="3FAC6AC6">
            <w:pPr>
              <w:spacing w:before="48" w:after="48" w:line="240" w:lineRule="auto"/>
              <w:jc w:val="center"/>
            </w:pPr>
            <w:r>
              <w:rPr>
                <w:rFonts w:ascii="宋体" w:hAnsi="宋体" w:eastAsia="宋体" w:cs="宋体"/>
                <w:color w:val="000000"/>
                <w:sz w:val="21"/>
                <w:highlight w:val="white"/>
              </w:rPr>
              <w:t>技术和服务水平</w:t>
            </w:r>
          </w:p>
        </w:tc>
        <w:tc>
          <w:tcPr>
            <w:tcW w:w="360" w:type="dxa"/>
            <w:vAlign w:val="center"/>
          </w:tcPr>
          <w:p w14:paraId="37BE67D3">
            <w:pPr>
              <w:spacing w:before="48" w:after="48" w:line="240" w:lineRule="auto"/>
              <w:jc w:val="center"/>
            </w:pPr>
            <w:r>
              <w:rPr>
                <w:rFonts w:ascii="宋体" w:hAnsi="宋体" w:eastAsia="宋体" w:cs="宋体"/>
                <w:color w:val="000000"/>
                <w:sz w:val="21"/>
                <w:highlight w:val="white"/>
              </w:rPr>
              <w:t>服务方案</w:t>
            </w:r>
          </w:p>
        </w:tc>
        <w:tc>
          <w:tcPr>
            <w:tcW w:w="360" w:type="dxa"/>
          </w:tcPr>
          <w:p w14:paraId="062AAE95">
            <w:pPr>
              <w:spacing w:before="48" w:after="48" w:line="240" w:lineRule="auto"/>
            </w:pPr>
            <w:r>
              <w:rPr>
                <w:rFonts w:ascii="宋体" w:hAnsi="宋体" w:eastAsia="宋体" w:cs="宋体"/>
                <w:color w:val="000000"/>
                <w:sz w:val="21"/>
                <w:highlight w:val="white"/>
              </w:rPr>
              <w:t>根据投标人为本项目制定的体检服务方案进行评审。</w:t>
            </w:r>
            <w:r>
              <w:rPr>
                <w:rFonts w:ascii="宋体" w:hAnsi="宋体" w:eastAsia="宋体" w:cs="宋体"/>
                <w:color w:val="000000"/>
                <w:sz w:val="21"/>
                <w:highlight w:val="white"/>
              </w:rPr>
              <w:br w:type="textWrapping"/>
            </w:r>
            <w:r>
              <w:rPr>
                <w:rFonts w:ascii="宋体" w:hAnsi="宋体" w:eastAsia="宋体" w:cs="宋体"/>
                <w:color w:val="000000"/>
                <w:sz w:val="21"/>
                <w:highlight w:val="white"/>
              </w:rPr>
              <w:t>1、体检流程管理质量标准和服务质量保证措施。</w:t>
            </w:r>
            <w:r>
              <w:rPr>
                <w:rFonts w:ascii="宋体" w:hAnsi="宋体" w:eastAsia="宋体" w:cs="宋体"/>
                <w:color w:val="000000"/>
                <w:sz w:val="21"/>
                <w:highlight w:val="white"/>
              </w:rPr>
              <w:br w:type="textWrapping"/>
            </w:r>
            <w:r>
              <w:rPr>
                <w:rFonts w:ascii="宋体" w:hAnsi="宋体" w:eastAsia="宋体" w:cs="宋体"/>
                <w:color w:val="000000"/>
                <w:sz w:val="21"/>
                <w:highlight w:val="white"/>
              </w:rPr>
              <w:t>2、人员管理质量标准和服务质量保证措施。</w:t>
            </w:r>
            <w:r>
              <w:rPr>
                <w:rFonts w:ascii="宋体" w:hAnsi="宋体" w:eastAsia="宋体" w:cs="宋体"/>
                <w:color w:val="000000"/>
                <w:sz w:val="21"/>
                <w:highlight w:val="white"/>
              </w:rPr>
              <w:br w:type="textWrapping"/>
            </w:r>
            <w:r>
              <w:rPr>
                <w:rFonts w:ascii="宋体" w:hAnsi="宋体" w:eastAsia="宋体" w:cs="宋体"/>
                <w:color w:val="000000"/>
                <w:sz w:val="21"/>
                <w:highlight w:val="white"/>
              </w:rPr>
              <w:t>3、体检服务质量标准和服务质量保证措施。</w:t>
            </w:r>
            <w:r>
              <w:rPr>
                <w:rFonts w:ascii="宋体" w:hAnsi="宋体" w:eastAsia="宋体" w:cs="宋体"/>
                <w:color w:val="000000"/>
                <w:sz w:val="21"/>
                <w:highlight w:val="white"/>
              </w:rPr>
              <w:br w:type="textWrapping"/>
            </w:r>
            <w:r>
              <w:rPr>
                <w:rFonts w:ascii="宋体" w:hAnsi="宋体" w:eastAsia="宋体" w:cs="宋体"/>
                <w:color w:val="000000"/>
                <w:sz w:val="21"/>
                <w:highlight w:val="white"/>
              </w:rPr>
              <w:t>经评审，方案中每提供1项且内容完整、详细、完全符合本项目实际情况、可操作性强的得2分，最多得6分。否则不得分。</w:t>
            </w:r>
          </w:p>
        </w:tc>
        <w:tc>
          <w:tcPr>
            <w:tcW w:w="360" w:type="dxa"/>
            <w:vAlign w:val="center"/>
          </w:tcPr>
          <w:p w14:paraId="031DC04E">
            <w:pPr>
              <w:spacing w:before="48" w:after="48" w:line="240" w:lineRule="auto"/>
              <w:jc w:val="center"/>
            </w:pPr>
            <w:r>
              <w:rPr>
                <w:rFonts w:ascii="宋体" w:hAnsi="宋体" w:eastAsia="宋体" w:cs="宋体"/>
                <w:color w:val="000000"/>
                <w:sz w:val="21"/>
                <w:highlight w:val="white"/>
              </w:rPr>
              <w:t>6</w:t>
            </w:r>
          </w:p>
        </w:tc>
      </w:tr>
      <w:tr w14:paraId="1C3DB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4C19A447">
            <w:pPr>
              <w:spacing w:before="48" w:after="48" w:line="240" w:lineRule="auto"/>
              <w:jc w:val="center"/>
            </w:pPr>
            <w:r>
              <w:rPr>
                <w:rFonts w:ascii="宋体" w:hAnsi="宋体" w:eastAsia="宋体" w:cs="宋体"/>
                <w:color w:val="000000"/>
                <w:sz w:val="21"/>
                <w:highlight w:val="white"/>
              </w:rPr>
              <w:t>15</w:t>
            </w:r>
          </w:p>
        </w:tc>
        <w:tc>
          <w:tcPr>
            <w:tcW w:w="0" w:type="dxa"/>
            <w:vMerge w:val="continue"/>
            <w:vAlign w:val="center"/>
          </w:tcPr>
          <w:p w14:paraId="365793FE">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(28分)</w:t>
            </w:r>
          </w:p>
        </w:tc>
        <w:tc>
          <w:tcPr>
            <w:tcW w:w="0" w:type="dxa"/>
            <w:vMerge w:val="continue"/>
            <w:vAlign w:val="center"/>
          </w:tcPr>
          <w:p w14:paraId="64BA33C2">
            <w:pPr>
              <w:spacing w:before="48" w:after="48" w:line="240" w:lineRule="auto"/>
              <w:jc w:val="center"/>
            </w:pPr>
            <w:r>
              <w:rPr>
                <w:rFonts w:ascii="宋体" w:hAnsi="宋体" w:eastAsia="宋体" w:cs="宋体"/>
                <w:color w:val="000000"/>
                <w:sz w:val="21"/>
                <w:highlight w:val="white"/>
              </w:rPr>
              <w:t>技术和服务水平</w:t>
            </w:r>
          </w:p>
        </w:tc>
        <w:tc>
          <w:tcPr>
            <w:tcW w:w="360" w:type="dxa"/>
            <w:vAlign w:val="center"/>
          </w:tcPr>
          <w:p w14:paraId="704612A0">
            <w:pPr>
              <w:spacing w:before="48" w:after="48" w:line="240" w:lineRule="auto"/>
              <w:jc w:val="center"/>
            </w:pPr>
            <w:r>
              <w:rPr>
                <w:rFonts w:ascii="宋体" w:hAnsi="宋体" w:eastAsia="宋体" w:cs="宋体"/>
                <w:color w:val="000000"/>
                <w:sz w:val="21"/>
                <w:highlight w:val="white"/>
              </w:rPr>
              <w:t>服务管理制度</w:t>
            </w:r>
          </w:p>
        </w:tc>
        <w:tc>
          <w:tcPr>
            <w:tcW w:w="360" w:type="dxa"/>
          </w:tcPr>
          <w:p w14:paraId="0FF6A0D4">
            <w:pPr>
              <w:spacing w:before="48" w:after="48" w:line="240" w:lineRule="auto"/>
            </w:pPr>
            <w:r>
              <w:rPr>
                <w:rFonts w:ascii="宋体" w:hAnsi="宋体" w:eastAsia="宋体" w:cs="宋体"/>
                <w:color w:val="000000"/>
                <w:sz w:val="21"/>
                <w:highlight w:val="white"/>
              </w:rPr>
              <w:t>根据投标人提供的服务管理制度进行评审。</w:t>
            </w:r>
            <w:r>
              <w:rPr>
                <w:rFonts w:ascii="宋体" w:hAnsi="宋体" w:eastAsia="宋体" w:cs="宋体"/>
                <w:color w:val="000000"/>
                <w:sz w:val="21"/>
                <w:highlight w:val="white"/>
              </w:rPr>
              <w:br w:type="textWrapping"/>
            </w:r>
            <w:r>
              <w:rPr>
                <w:rFonts w:ascii="宋体" w:hAnsi="宋体" w:eastAsia="宋体" w:cs="宋体"/>
                <w:color w:val="000000"/>
                <w:sz w:val="21"/>
                <w:highlight w:val="white"/>
              </w:rPr>
              <w:t>1、运作流程管理制度。</w:t>
            </w:r>
            <w:r>
              <w:rPr>
                <w:rFonts w:ascii="宋体" w:hAnsi="宋体" w:eastAsia="宋体" w:cs="宋体"/>
                <w:color w:val="000000"/>
                <w:sz w:val="21"/>
                <w:highlight w:val="white"/>
              </w:rPr>
              <w:br w:type="textWrapping"/>
            </w:r>
            <w:r>
              <w:rPr>
                <w:rFonts w:ascii="宋体" w:hAnsi="宋体" w:eastAsia="宋体" w:cs="宋体"/>
                <w:color w:val="000000"/>
                <w:sz w:val="21"/>
                <w:highlight w:val="white"/>
              </w:rPr>
              <w:t>2、体检报告管理制度。</w:t>
            </w:r>
            <w:r>
              <w:rPr>
                <w:rFonts w:ascii="宋体" w:hAnsi="宋体" w:eastAsia="宋体" w:cs="宋体"/>
                <w:color w:val="000000"/>
                <w:sz w:val="21"/>
                <w:highlight w:val="white"/>
              </w:rPr>
              <w:br w:type="textWrapping"/>
            </w:r>
            <w:r>
              <w:rPr>
                <w:rFonts w:ascii="宋体" w:hAnsi="宋体" w:eastAsia="宋体" w:cs="宋体"/>
                <w:color w:val="000000"/>
                <w:sz w:val="21"/>
                <w:highlight w:val="white"/>
              </w:rPr>
              <w:t>3、健康档案管理制度。</w:t>
            </w:r>
            <w:r>
              <w:rPr>
                <w:rFonts w:ascii="宋体" w:hAnsi="宋体" w:eastAsia="宋体" w:cs="宋体"/>
                <w:color w:val="000000"/>
                <w:sz w:val="21"/>
                <w:highlight w:val="white"/>
              </w:rPr>
              <w:br w:type="textWrapping"/>
            </w:r>
            <w:r>
              <w:rPr>
                <w:rFonts w:ascii="宋体" w:hAnsi="宋体" w:eastAsia="宋体" w:cs="宋体"/>
                <w:color w:val="000000"/>
                <w:sz w:val="21"/>
                <w:highlight w:val="white"/>
              </w:rPr>
              <w:t>4、病例私密性管理制度。</w:t>
            </w:r>
            <w:r>
              <w:rPr>
                <w:rFonts w:ascii="宋体" w:hAnsi="宋体" w:eastAsia="宋体" w:cs="宋体"/>
                <w:color w:val="000000"/>
                <w:sz w:val="21"/>
                <w:highlight w:val="white"/>
              </w:rPr>
              <w:br w:type="textWrapping"/>
            </w:r>
            <w:r>
              <w:rPr>
                <w:rFonts w:ascii="宋体" w:hAnsi="宋体" w:eastAsia="宋体" w:cs="宋体"/>
                <w:color w:val="000000"/>
                <w:sz w:val="21"/>
                <w:highlight w:val="white"/>
              </w:rPr>
              <w:t>经评审，制度中每提供1项且管理制度具体详尽、流程合理可行、条理分析清晰、完善的得2分，最多得8分，否则不得分。</w:t>
            </w:r>
          </w:p>
        </w:tc>
        <w:tc>
          <w:tcPr>
            <w:tcW w:w="360" w:type="dxa"/>
            <w:vAlign w:val="center"/>
          </w:tcPr>
          <w:p w14:paraId="3C127467">
            <w:pPr>
              <w:spacing w:before="48" w:after="48" w:line="240" w:lineRule="auto"/>
              <w:jc w:val="center"/>
            </w:pPr>
            <w:r>
              <w:rPr>
                <w:rFonts w:ascii="宋体" w:hAnsi="宋体" w:eastAsia="宋体" w:cs="宋体"/>
                <w:color w:val="000000"/>
                <w:sz w:val="21"/>
                <w:highlight w:val="white"/>
              </w:rPr>
              <w:t>8</w:t>
            </w:r>
          </w:p>
        </w:tc>
      </w:tr>
      <w:tr w14:paraId="5F0D2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14:paraId="37766C4F">
            <w:pPr>
              <w:spacing w:before="48" w:after="48" w:line="240" w:lineRule="auto"/>
              <w:jc w:val="center"/>
            </w:pPr>
            <w:r>
              <w:rPr>
                <w:rFonts w:ascii="宋体" w:hAnsi="宋体" w:eastAsia="宋体" w:cs="宋体"/>
                <w:color w:val="000000"/>
                <w:sz w:val="21"/>
                <w:highlight w:val="white"/>
              </w:rPr>
              <w:t>16</w:t>
            </w:r>
          </w:p>
        </w:tc>
        <w:tc>
          <w:tcPr>
            <w:tcW w:w="0" w:type="dxa"/>
            <w:vMerge w:val="continue"/>
            <w:vAlign w:val="center"/>
          </w:tcPr>
          <w:p w14:paraId="547B3280">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(28分)</w:t>
            </w:r>
          </w:p>
        </w:tc>
        <w:tc>
          <w:tcPr>
            <w:tcW w:w="0" w:type="dxa"/>
            <w:vMerge w:val="continue"/>
            <w:vAlign w:val="center"/>
          </w:tcPr>
          <w:p w14:paraId="29055B7E">
            <w:pPr>
              <w:spacing w:before="48" w:after="48" w:line="240" w:lineRule="auto"/>
              <w:jc w:val="center"/>
            </w:pPr>
            <w:r>
              <w:rPr>
                <w:rFonts w:ascii="宋体" w:hAnsi="宋体" w:eastAsia="宋体" w:cs="宋体"/>
                <w:color w:val="000000"/>
                <w:sz w:val="21"/>
                <w:highlight w:val="white"/>
              </w:rPr>
              <w:t>技术和服务水平</w:t>
            </w:r>
          </w:p>
        </w:tc>
        <w:tc>
          <w:tcPr>
            <w:tcW w:w="360" w:type="dxa"/>
            <w:vAlign w:val="center"/>
          </w:tcPr>
          <w:p w14:paraId="767BC01C">
            <w:pPr>
              <w:spacing w:before="48" w:after="48" w:line="240" w:lineRule="auto"/>
              <w:jc w:val="center"/>
            </w:pPr>
            <w:r>
              <w:rPr>
                <w:rFonts w:ascii="宋体" w:hAnsi="宋体" w:eastAsia="宋体" w:cs="宋体"/>
                <w:color w:val="000000"/>
                <w:sz w:val="21"/>
                <w:highlight w:val="white"/>
              </w:rPr>
              <w:t>应急服务</w:t>
            </w:r>
          </w:p>
        </w:tc>
        <w:tc>
          <w:tcPr>
            <w:tcW w:w="360" w:type="dxa"/>
          </w:tcPr>
          <w:p w14:paraId="6A396BBB">
            <w:pPr>
              <w:spacing w:before="48" w:after="48" w:line="240" w:lineRule="auto"/>
            </w:pPr>
            <w:r>
              <w:rPr>
                <w:rFonts w:ascii="宋体" w:hAnsi="宋体" w:eastAsia="宋体" w:cs="宋体"/>
                <w:color w:val="000000"/>
                <w:sz w:val="21"/>
                <w:highlight w:val="white"/>
              </w:rPr>
              <w:t>根据投标人提供的应急服务方案进行评审。</w:t>
            </w:r>
            <w:r>
              <w:rPr>
                <w:rFonts w:ascii="宋体" w:hAnsi="宋体" w:eastAsia="宋体" w:cs="宋体"/>
                <w:color w:val="000000"/>
                <w:sz w:val="21"/>
                <w:highlight w:val="white"/>
              </w:rPr>
              <w:br w:type="textWrapping"/>
            </w:r>
            <w:r>
              <w:rPr>
                <w:rFonts w:ascii="宋体" w:hAnsi="宋体" w:eastAsia="宋体" w:cs="宋体"/>
                <w:color w:val="000000"/>
                <w:sz w:val="21"/>
                <w:highlight w:val="white"/>
              </w:rPr>
              <w:t>1、应急情况处理措施。</w:t>
            </w:r>
            <w:r>
              <w:rPr>
                <w:rFonts w:ascii="宋体" w:hAnsi="宋体" w:eastAsia="宋体" w:cs="宋体"/>
                <w:color w:val="000000"/>
                <w:sz w:val="21"/>
                <w:highlight w:val="white"/>
              </w:rPr>
              <w:br w:type="textWrapping"/>
            </w:r>
            <w:r>
              <w:rPr>
                <w:rFonts w:ascii="宋体" w:hAnsi="宋体" w:eastAsia="宋体" w:cs="宋体"/>
                <w:color w:val="000000"/>
                <w:sz w:val="21"/>
                <w:highlight w:val="white"/>
              </w:rPr>
              <w:t>2、应急情况预案及疫情防护措施。</w:t>
            </w:r>
            <w:r>
              <w:rPr>
                <w:rFonts w:ascii="宋体" w:hAnsi="宋体" w:eastAsia="宋体" w:cs="宋体"/>
                <w:color w:val="000000"/>
                <w:sz w:val="21"/>
                <w:highlight w:val="white"/>
              </w:rPr>
              <w:br w:type="textWrapping"/>
            </w:r>
            <w:r>
              <w:rPr>
                <w:rFonts w:ascii="宋体" w:hAnsi="宋体" w:eastAsia="宋体" w:cs="宋体"/>
                <w:color w:val="000000"/>
                <w:sz w:val="21"/>
                <w:highlight w:val="white"/>
              </w:rPr>
              <w:t>经评审，方案中每提供1项且处理措施有效、预案全面、抵抗风险措施充分得3分，最多得6分。否则不得分。</w:t>
            </w:r>
          </w:p>
        </w:tc>
        <w:tc>
          <w:tcPr>
            <w:tcW w:w="360" w:type="dxa"/>
            <w:vAlign w:val="center"/>
          </w:tcPr>
          <w:p w14:paraId="5E1D8B50">
            <w:pPr>
              <w:spacing w:before="48" w:after="48" w:line="240" w:lineRule="auto"/>
              <w:jc w:val="center"/>
            </w:pPr>
            <w:r>
              <w:rPr>
                <w:rFonts w:ascii="宋体" w:hAnsi="宋体" w:eastAsia="宋体" w:cs="宋体"/>
                <w:color w:val="000000"/>
                <w:sz w:val="21"/>
                <w:highlight w:val="white"/>
              </w:rPr>
              <w:t>6</w:t>
            </w:r>
          </w:p>
        </w:tc>
      </w:tr>
      <w:tr w14:paraId="7DE08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gridSpan w:val="5"/>
          </w:tcPr>
          <w:p w14:paraId="5FF5A7FC">
            <w:pPr>
              <w:spacing w:before="48" w:after="48" w:line="240" w:lineRule="auto"/>
              <w:jc w:val="center"/>
            </w:pPr>
            <w:r>
              <w:rPr>
                <w:rFonts w:ascii="宋体" w:hAnsi="宋体" w:eastAsia="宋体" w:cs="宋体"/>
                <w:color w:val="000000"/>
                <w:sz w:val="21"/>
                <w:highlight w:val="white"/>
              </w:rPr>
              <w:t>合计</w:t>
            </w:r>
          </w:p>
        </w:tc>
        <w:tc>
          <w:tcPr>
            <w:tcW w:w="360" w:type="dxa"/>
          </w:tcPr>
          <w:p w14:paraId="5FE6146B">
            <w:pPr>
              <w:spacing w:before="48" w:after="48" w:line="240" w:lineRule="auto"/>
              <w:jc w:val="center"/>
            </w:pPr>
            <w:r>
              <w:rPr>
                <w:rFonts w:ascii="宋体" w:hAnsi="宋体" w:eastAsia="宋体" w:cs="宋体"/>
                <w:color w:val="000000"/>
                <w:sz w:val="21"/>
                <w:highlight w:val="white"/>
              </w:rPr>
              <w:t>100</w:t>
            </w:r>
          </w:p>
        </w:tc>
      </w:tr>
    </w:tbl>
    <w:p w14:paraId="05EFEFFF">
      <w:pPr>
        <w:bidi w:val="0"/>
        <w:rPr>
          <w:rFonts w:hint="eastAsia"/>
          <w:lang w:val="en-US" w:eastAsia="zh-CN"/>
        </w:rPr>
      </w:pPr>
    </w:p>
    <w:p w14:paraId="13CACDE0">
      <w:pPr>
        <w:pStyle w:val="3"/>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hint="eastAsia" w:ascii="Times New Roman" w:hAnsi="Times New Roman" w:eastAsia="宋体" w:cs="Times New Roman"/>
          <w:b/>
          <w:bCs/>
          <w:color w:val="auto"/>
          <w:kern w:val="44"/>
          <w:sz w:val="36"/>
          <w:szCs w:val="36"/>
          <w:highlight w:val="none"/>
          <w:lang w:val="en-US" w:eastAsia="zh-CN" w:bidi="ar-SA"/>
        </w:rPr>
      </w:pPr>
      <w:r>
        <w:rPr>
          <w:color w:val="000000"/>
          <w:highlight w:val="white"/>
        </w:rPr>
        <w:br w:type="page"/>
      </w:r>
      <w:r>
        <w:rPr>
          <w:rStyle w:val="37"/>
          <w:rFonts w:hint="eastAsia"/>
          <w:b/>
          <w:bCs/>
          <w:color w:val="000000"/>
          <w:highlight w:val="white"/>
          <w:lang w:val="en-US" w:eastAsia="zh-CN"/>
        </w:rPr>
        <w:t>第四章  政府采购合同文本</w:t>
      </w:r>
    </w:p>
    <w:p w14:paraId="2A8F4F88">
      <w:pPr>
        <w:widowControl w:val="0"/>
        <w:spacing w:after="0" w:line="259" w:lineRule="auto"/>
        <w:jc w:val="left"/>
        <w:rPr>
          <w:rFonts w:hint="eastAsia" w:eastAsia="宋体"/>
          <w:b/>
          <w:bCs/>
          <w:kern w:val="44"/>
          <w:sz w:val="32"/>
          <w:szCs w:val="32"/>
          <w:lang w:eastAsia="zh-CN"/>
        </w:rPr>
      </w:pPr>
      <w:r>
        <w:rPr>
          <w:rFonts w:hint="eastAsia" w:eastAsia="宋体"/>
          <w:b/>
          <w:bCs/>
          <w:color w:val="000000"/>
          <w:kern w:val="44"/>
          <w:sz w:val="32"/>
          <w:szCs w:val="32"/>
          <w:highlight w:val="white"/>
          <w:lang w:eastAsia="zh-CN"/>
        </w:rPr>
        <w:t>（非信息化服务类合同文本，省级及以下单位参考）</w:t>
      </w:r>
    </w:p>
    <w:p w14:paraId="1B106114">
      <w:pPr>
        <w:widowControl w:val="0"/>
        <w:spacing w:after="0" w:line="259" w:lineRule="auto"/>
        <w:jc w:val="center"/>
        <w:rPr>
          <w:rFonts w:hint="eastAsia" w:ascii="宋体" w:hAnsi="宋体" w:eastAsia="宋体" w:cs="宋体"/>
          <w:b/>
          <w:sz w:val="96"/>
          <w:szCs w:val="96"/>
          <w:lang w:eastAsia="zh-CN"/>
        </w:rPr>
      </w:pPr>
    </w:p>
    <w:p w14:paraId="438995B9">
      <w:pPr>
        <w:widowControl w:val="0"/>
        <w:spacing w:after="0" w:line="259" w:lineRule="auto"/>
        <w:jc w:val="center"/>
        <w:rPr>
          <w:rFonts w:hint="eastAsia" w:ascii="宋体" w:hAnsi="宋体" w:eastAsia="宋体" w:cs="宋体"/>
          <w:b/>
          <w:sz w:val="96"/>
          <w:szCs w:val="96"/>
          <w:lang w:eastAsia="zh-CN"/>
        </w:rPr>
      </w:pPr>
      <w:r>
        <w:rPr>
          <w:rFonts w:hint="eastAsia" w:ascii="宋体" w:hAnsi="宋体" w:eastAsia="宋体" w:cs="宋体"/>
          <w:b/>
          <w:color w:val="000000"/>
          <w:sz w:val="96"/>
          <w:szCs w:val="96"/>
          <w:highlight w:val="white"/>
          <w:lang w:eastAsia="zh-CN"/>
        </w:rPr>
        <w:t>合 同 书</w:t>
      </w:r>
    </w:p>
    <w:p w14:paraId="1AD1FB25">
      <w:pPr>
        <w:widowControl w:val="0"/>
        <w:spacing w:after="0" w:line="259" w:lineRule="auto"/>
        <w:jc w:val="center"/>
        <w:rPr>
          <w:rFonts w:hint="eastAsia" w:ascii="宋体" w:hAnsi="宋体" w:eastAsia="宋体" w:cs="宋体"/>
          <w:b/>
          <w:sz w:val="96"/>
          <w:szCs w:val="96"/>
          <w:lang w:eastAsia="zh-CN"/>
        </w:rPr>
      </w:pPr>
    </w:p>
    <w:p w14:paraId="7822440D">
      <w:pPr>
        <w:widowControl w:val="0"/>
        <w:tabs>
          <w:tab w:val="left" w:pos="540"/>
          <w:tab w:val="left" w:pos="1080"/>
          <w:tab w:val="left" w:pos="1440"/>
        </w:tabs>
        <w:snapToGrid w:val="0"/>
        <w:spacing w:after="160" w:line="259" w:lineRule="auto"/>
        <w:jc w:val="center"/>
        <w:rPr>
          <w:rFonts w:hint="eastAsia" w:ascii="宋体" w:hAnsi="宋体" w:eastAsia="宋体" w:cs="宋体"/>
          <w:kern w:val="2"/>
          <w:sz w:val="32"/>
          <w:szCs w:val="32"/>
          <w:lang w:eastAsia="zh-CN"/>
        </w:rPr>
      </w:pPr>
    </w:p>
    <w:p w14:paraId="643DFF3E">
      <w:pPr>
        <w:widowControl w:val="0"/>
        <w:tabs>
          <w:tab w:val="left" w:pos="540"/>
          <w:tab w:val="left" w:pos="1080"/>
          <w:tab w:val="left" w:pos="1440"/>
        </w:tabs>
        <w:snapToGrid w:val="0"/>
        <w:spacing w:after="160" w:line="259" w:lineRule="auto"/>
        <w:jc w:val="center"/>
        <w:rPr>
          <w:rFonts w:hint="eastAsia" w:ascii="宋体" w:hAnsi="宋体" w:eastAsia="宋体" w:cs="宋体"/>
          <w:kern w:val="2"/>
          <w:sz w:val="32"/>
          <w:szCs w:val="32"/>
          <w:lang w:eastAsia="zh-CN"/>
        </w:rPr>
      </w:pPr>
    </w:p>
    <w:p w14:paraId="62CD9A2D">
      <w:pPr>
        <w:widowControl w:val="0"/>
        <w:tabs>
          <w:tab w:val="left" w:pos="2160"/>
        </w:tabs>
        <w:topLinePunct/>
        <w:autoSpaceDE w:val="0"/>
        <w:autoSpaceDN w:val="0"/>
        <w:snapToGrid w:val="0"/>
        <w:spacing w:after="160" w:line="360" w:lineRule="auto"/>
        <w:ind w:left="840" w:leftChars="400"/>
        <w:jc w:val="both"/>
        <w:rPr>
          <w:rFonts w:hint="eastAsia" w:ascii="宋体" w:hAnsi="宋体" w:eastAsia="宋体" w:cs="宋体"/>
          <w:b/>
          <w:kern w:val="2"/>
          <w:sz w:val="32"/>
          <w:szCs w:val="32"/>
          <w:lang w:eastAsia="zh-CN"/>
        </w:rPr>
      </w:pPr>
      <w:r>
        <w:rPr>
          <w:rFonts w:hint="eastAsia" w:ascii="宋体" w:hAnsi="宋体" w:eastAsia="宋体" w:cs="宋体"/>
          <w:b/>
          <w:color w:val="000000"/>
          <w:kern w:val="2"/>
          <w:sz w:val="32"/>
          <w:szCs w:val="32"/>
          <w:highlight w:val="white"/>
          <w:lang w:eastAsia="zh-CN"/>
        </w:rPr>
        <w:t>项目名称：</w:t>
      </w:r>
    </w:p>
    <w:p w14:paraId="1C5772EB">
      <w:pPr>
        <w:widowControl w:val="0"/>
        <w:tabs>
          <w:tab w:val="left" w:pos="540"/>
          <w:tab w:val="left" w:pos="1080"/>
          <w:tab w:val="left" w:pos="1440"/>
        </w:tabs>
        <w:snapToGrid w:val="0"/>
        <w:spacing w:after="160" w:line="500" w:lineRule="exact"/>
        <w:ind w:left="840" w:leftChars="400"/>
        <w:jc w:val="both"/>
        <w:rPr>
          <w:rFonts w:hint="eastAsia" w:ascii="宋体" w:hAnsi="宋体" w:eastAsia="宋体" w:cs="宋体"/>
          <w:b/>
          <w:kern w:val="2"/>
          <w:sz w:val="32"/>
          <w:szCs w:val="32"/>
          <w:lang w:eastAsia="zh-CN"/>
        </w:rPr>
      </w:pPr>
      <w:r>
        <w:rPr>
          <w:rFonts w:hint="eastAsia" w:ascii="宋体" w:hAnsi="宋体" w:eastAsia="宋体" w:cs="宋体"/>
          <w:b/>
          <w:color w:val="000000"/>
          <w:kern w:val="2"/>
          <w:sz w:val="32"/>
          <w:szCs w:val="32"/>
          <w:highlight w:val="white"/>
          <w:lang w:eastAsia="zh-CN"/>
        </w:rPr>
        <w:t>合同编号：</w:t>
      </w:r>
    </w:p>
    <w:p w14:paraId="7A66D249">
      <w:pPr>
        <w:widowControl w:val="0"/>
        <w:tabs>
          <w:tab w:val="left" w:pos="2160"/>
        </w:tabs>
        <w:topLinePunct/>
        <w:autoSpaceDE w:val="0"/>
        <w:autoSpaceDN w:val="0"/>
        <w:snapToGrid w:val="0"/>
        <w:spacing w:after="160" w:line="360" w:lineRule="auto"/>
        <w:ind w:left="2564" w:leftChars="456" w:hanging="1606" w:hangingChars="500"/>
        <w:jc w:val="both"/>
        <w:rPr>
          <w:rFonts w:hint="eastAsia" w:ascii="宋体" w:hAnsi="宋体" w:eastAsia="宋体" w:cs="宋体"/>
          <w:b/>
          <w:kern w:val="2"/>
          <w:sz w:val="32"/>
          <w:szCs w:val="32"/>
          <w:lang w:eastAsia="zh-CN"/>
        </w:rPr>
      </w:pPr>
    </w:p>
    <w:p w14:paraId="35EACD90">
      <w:pPr>
        <w:widowControl w:val="0"/>
        <w:spacing w:after="0" w:line="460" w:lineRule="exact"/>
        <w:jc w:val="center"/>
        <w:rPr>
          <w:rFonts w:hint="eastAsia" w:ascii="宋体" w:hAnsi="宋体" w:eastAsia="宋体" w:cs="宋体"/>
          <w:b/>
          <w:sz w:val="52"/>
          <w:szCs w:val="21"/>
          <w:lang w:eastAsia="zh-CN"/>
        </w:rPr>
      </w:pPr>
    </w:p>
    <w:p w14:paraId="3A09C6AF">
      <w:pPr>
        <w:widowControl w:val="0"/>
        <w:tabs>
          <w:tab w:val="left" w:pos="3045"/>
        </w:tabs>
        <w:spacing w:after="0" w:line="460" w:lineRule="exact"/>
        <w:jc w:val="both"/>
        <w:rPr>
          <w:rFonts w:hint="eastAsia" w:ascii="宋体" w:hAnsi="宋体" w:eastAsia="宋体" w:cs="宋体"/>
          <w:b/>
          <w:sz w:val="32"/>
          <w:szCs w:val="21"/>
          <w:lang w:eastAsia="zh-CN"/>
        </w:rPr>
      </w:pPr>
      <w:r>
        <w:rPr>
          <w:rFonts w:hint="eastAsia" w:ascii="宋体" w:hAnsi="宋体" w:eastAsia="宋体" w:cs="宋体"/>
          <w:b/>
          <w:color w:val="000000"/>
          <w:sz w:val="32"/>
          <w:szCs w:val="21"/>
          <w:highlight w:val="white"/>
          <w:lang w:eastAsia="zh-CN"/>
        </w:rPr>
        <w:tab/>
      </w:r>
    </w:p>
    <w:p w14:paraId="14BD59AB">
      <w:pPr>
        <w:widowControl w:val="0"/>
        <w:tabs>
          <w:tab w:val="left" w:pos="3045"/>
        </w:tabs>
        <w:spacing w:after="0" w:line="460" w:lineRule="exact"/>
        <w:jc w:val="both"/>
        <w:rPr>
          <w:rFonts w:hint="eastAsia" w:ascii="宋体" w:hAnsi="宋体" w:eastAsia="宋体" w:cs="宋体"/>
          <w:b/>
          <w:sz w:val="32"/>
          <w:szCs w:val="21"/>
          <w:lang w:eastAsia="zh-CN"/>
        </w:rPr>
      </w:pPr>
    </w:p>
    <w:p w14:paraId="36BB917E">
      <w:pPr>
        <w:widowControl w:val="0"/>
        <w:tabs>
          <w:tab w:val="left" w:pos="3045"/>
        </w:tabs>
        <w:spacing w:after="0" w:line="460" w:lineRule="exact"/>
        <w:jc w:val="both"/>
        <w:rPr>
          <w:rFonts w:hint="eastAsia" w:ascii="宋体" w:hAnsi="宋体" w:eastAsia="宋体" w:cs="宋体"/>
          <w:b/>
          <w:sz w:val="52"/>
          <w:szCs w:val="21"/>
          <w:lang w:eastAsia="zh-CN"/>
        </w:rPr>
      </w:pPr>
    </w:p>
    <w:p w14:paraId="2F2AD482">
      <w:pPr>
        <w:widowControl w:val="0"/>
        <w:spacing w:after="0" w:line="460" w:lineRule="exact"/>
        <w:jc w:val="both"/>
        <w:rPr>
          <w:rFonts w:hint="eastAsia" w:ascii="宋体" w:hAnsi="宋体" w:eastAsia="宋体" w:cs="宋体"/>
          <w:b/>
          <w:sz w:val="52"/>
          <w:szCs w:val="21"/>
          <w:lang w:eastAsia="zh-CN"/>
        </w:rPr>
      </w:pPr>
    </w:p>
    <w:p w14:paraId="3741525E">
      <w:pPr>
        <w:widowControl w:val="0"/>
        <w:spacing w:after="0" w:line="460" w:lineRule="exact"/>
        <w:jc w:val="center"/>
        <w:rPr>
          <w:rFonts w:hint="eastAsia" w:ascii="宋体" w:hAnsi="宋体" w:eastAsia="宋体" w:cs="宋体"/>
          <w:b/>
          <w:sz w:val="52"/>
          <w:szCs w:val="21"/>
          <w:lang w:eastAsia="zh-CN"/>
        </w:rPr>
      </w:pPr>
    </w:p>
    <w:p w14:paraId="6E84EA50">
      <w:pPr>
        <w:widowControl w:val="0"/>
        <w:spacing w:after="160" w:line="300" w:lineRule="auto"/>
        <w:ind w:firstLine="1521" w:firstLineChars="541"/>
        <w:jc w:val="both"/>
        <w:rPr>
          <w:rFonts w:hint="eastAsia" w:ascii="宋体" w:hAnsi="宋体" w:eastAsia="宋体" w:cs="宋体"/>
          <w:b/>
          <w:bCs/>
          <w:kern w:val="2"/>
          <w:sz w:val="28"/>
          <w:lang w:eastAsia="zh-CN"/>
        </w:rPr>
      </w:pPr>
      <w:r>
        <w:rPr>
          <w:rFonts w:hint="eastAsia" w:ascii="宋体" w:hAnsi="宋体" w:eastAsia="宋体" w:cs="宋体"/>
          <w:b/>
          <w:bCs/>
          <w:color w:val="000000"/>
          <w:kern w:val="2"/>
          <w:sz w:val="28"/>
          <w:highlight w:val="white"/>
          <w:lang w:eastAsia="zh-CN"/>
        </w:rPr>
        <w:t xml:space="preserve">甲    方： </w:t>
      </w:r>
      <w:r>
        <w:rPr>
          <w:rFonts w:hint="eastAsia" w:ascii="宋体" w:hAnsi="宋体" w:eastAsia="宋体" w:cs="宋体"/>
          <w:b/>
          <w:bCs/>
          <w:color w:val="000000"/>
          <w:kern w:val="2"/>
          <w:sz w:val="28"/>
          <w:highlight w:val="white"/>
          <w:u w:val="single"/>
          <w:lang w:eastAsia="zh-CN"/>
        </w:rPr>
        <w:t xml:space="preserve">   国家税务总局长春市南关区税务局   </w:t>
      </w:r>
    </w:p>
    <w:p w14:paraId="4E0AFF8D">
      <w:pPr>
        <w:widowControl w:val="0"/>
        <w:spacing w:after="160" w:line="300" w:lineRule="auto"/>
        <w:ind w:firstLine="1521" w:firstLineChars="541"/>
        <w:jc w:val="both"/>
        <w:rPr>
          <w:rFonts w:hint="eastAsia" w:ascii="宋体" w:hAnsi="宋体" w:eastAsia="宋体" w:cs="宋体"/>
          <w:b/>
          <w:bCs/>
          <w:kern w:val="2"/>
          <w:sz w:val="28"/>
          <w:u w:val="single"/>
          <w:lang w:eastAsia="zh-CN"/>
        </w:rPr>
      </w:pPr>
      <w:r>
        <w:rPr>
          <w:rFonts w:hint="eastAsia" w:ascii="宋体" w:hAnsi="宋体" w:eastAsia="宋体" w:cs="宋体"/>
          <w:b/>
          <w:bCs/>
          <w:color w:val="000000"/>
          <w:kern w:val="2"/>
          <w:sz w:val="28"/>
          <w:highlight w:val="white"/>
          <w:lang w:eastAsia="zh-CN"/>
        </w:rPr>
        <w:t xml:space="preserve">乙    方： </w:t>
      </w:r>
      <w:r>
        <w:rPr>
          <w:rFonts w:hint="eastAsia" w:ascii="宋体" w:hAnsi="宋体" w:eastAsia="宋体" w:cs="宋体"/>
          <w:b/>
          <w:bCs/>
          <w:color w:val="000000"/>
          <w:kern w:val="2"/>
          <w:sz w:val="28"/>
          <w:highlight w:val="white"/>
          <w:u w:val="single"/>
          <w:lang w:eastAsia="zh-CN"/>
        </w:rPr>
        <w:t xml:space="preserve">                    </w:t>
      </w:r>
    </w:p>
    <w:p w14:paraId="559E45D7">
      <w:pPr>
        <w:widowControl w:val="0"/>
        <w:spacing w:after="160" w:line="300" w:lineRule="auto"/>
        <w:ind w:firstLine="1521" w:firstLineChars="541"/>
        <w:jc w:val="both"/>
        <w:rPr>
          <w:rFonts w:hint="eastAsia" w:ascii="宋体" w:hAnsi="宋体" w:eastAsia="宋体" w:cs="宋体"/>
          <w:b/>
          <w:bCs/>
          <w:kern w:val="2"/>
          <w:sz w:val="28"/>
          <w:u w:val="single"/>
          <w:lang w:eastAsia="zh-CN"/>
        </w:rPr>
      </w:pPr>
      <w:r>
        <w:rPr>
          <w:rFonts w:hint="eastAsia" w:ascii="宋体" w:hAnsi="宋体" w:eastAsia="宋体" w:cs="宋体"/>
          <w:b/>
          <w:bCs/>
          <w:color w:val="000000"/>
          <w:kern w:val="2"/>
          <w:sz w:val="28"/>
          <w:highlight w:val="white"/>
          <w:lang w:eastAsia="zh-CN"/>
        </w:rPr>
        <w:t xml:space="preserve">日    期： </w:t>
      </w:r>
      <w:r>
        <w:rPr>
          <w:rFonts w:hint="eastAsia" w:ascii="宋体" w:hAnsi="宋体" w:eastAsia="宋体" w:cs="宋体"/>
          <w:b/>
          <w:bCs/>
          <w:color w:val="000000"/>
          <w:kern w:val="2"/>
          <w:sz w:val="28"/>
          <w:highlight w:val="white"/>
          <w:u w:val="single"/>
          <w:lang w:eastAsia="zh-CN"/>
        </w:rPr>
        <w:t xml:space="preserve">        年  月      </w:t>
      </w:r>
    </w:p>
    <w:p w14:paraId="70B28F03">
      <w:pPr>
        <w:widowControl w:val="0"/>
        <w:spacing w:after="160" w:line="300" w:lineRule="auto"/>
        <w:jc w:val="center"/>
        <w:rPr>
          <w:rFonts w:hint="eastAsia" w:ascii="宋体" w:hAnsi="宋体" w:eastAsia="宋体" w:cs="宋体"/>
          <w:b/>
          <w:kern w:val="2"/>
          <w:sz w:val="28"/>
          <w:lang w:eastAsia="zh-CN"/>
        </w:rPr>
      </w:pPr>
      <w:r>
        <w:rPr>
          <w:rFonts w:ascii="宋体" w:hAnsi="宋体" w:eastAsia="宋体" w:cs="宋体"/>
          <w:b/>
          <w:bCs/>
          <w:color w:val="000000"/>
          <w:kern w:val="2"/>
          <w:sz w:val="28"/>
          <w:highlight w:val="white"/>
          <w:u w:val="single"/>
          <w:lang w:eastAsia="zh-CN"/>
        </w:rPr>
        <w:br w:type="page"/>
      </w:r>
      <w:r>
        <w:rPr>
          <w:rFonts w:hint="eastAsia" w:ascii="宋体" w:hAnsi="宋体" w:eastAsia="宋体" w:cs="宋体"/>
          <w:b/>
          <w:color w:val="000000"/>
          <w:kern w:val="2"/>
          <w:sz w:val="28"/>
          <w:highlight w:val="white"/>
          <w:lang w:eastAsia="zh-CN"/>
        </w:rPr>
        <w:t>合同条款前附表</w:t>
      </w:r>
    </w:p>
    <w:tbl>
      <w:tblPr>
        <w:tblStyle w:val="30"/>
        <w:tblW w:w="8841"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6264"/>
        <w:gridCol w:w="13"/>
      </w:tblGrid>
      <w:tr w14:paraId="34640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14:paraId="793967E2">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b/>
                <w:kern w:val="2"/>
                <w:sz w:val="21"/>
                <w:szCs w:val="21"/>
                <w:lang w:eastAsia="zh-CN"/>
              </w:rPr>
            </w:pPr>
            <w:r>
              <w:rPr>
                <w:rFonts w:hint="eastAsia" w:ascii="宋体" w:hAnsi="宋体" w:eastAsia="宋体" w:cs="宋体"/>
                <w:b/>
                <w:color w:val="000000"/>
                <w:kern w:val="2"/>
                <w:sz w:val="21"/>
                <w:szCs w:val="21"/>
                <w:highlight w:val="white"/>
                <w:lang w:eastAsia="zh-CN"/>
              </w:rPr>
              <w:t>序号</w:t>
            </w:r>
          </w:p>
        </w:tc>
        <w:tc>
          <w:tcPr>
            <w:tcW w:w="8173" w:type="dxa"/>
            <w:gridSpan w:val="3"/>
            <w:tcBorders>
              <w:top w:val="single" w:color="auto" w:sz="4" w:space="0"/>
              <w:left w:val="single" w:color="auto" w:sz="4" w:space="0"/>
              <w:bottom w:val="single" w:color="auto" w:sz="4" w:space="0"/>
              <w:right w:val="single" w:color="auto" w:sz="4" w:space="0"/>
            </w:tcBorders>
            <w:vAlign w:val="center"/>
          </w:tcPr>
          <w:p w14:paraId="64B36D91">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b/>
                <w:kern w:val="2"/>
                <w:sz w:val="21"/>
                <w:szCs w:val="21"/>
                <w:lang w:eastAsia="zh-CN"/>
              </w:rPr>
            </w:pPr>
            <w:r>
              <w:rPr>
                <w:rFonts w:hint="eastAsia" w:ascii="宋体" w:hAnsi="宋体" w:eastAsia="宋体" w:cs="宋体"/>
                <w:b/>
                <w:color w:val="000000"/>
                <w:kern w:val="2"/>
                <w:sz w:val="21"/>
                <w:szCs w:val="21"/>
                <w:highlight w:val="white"/>
                <w:lang w:eastAsia="zh-CN"/>
              </w:rPr>
              <w:t>内        容</w:t>
            </w:r>
          </w:p>
        </w:tc>
      </w:tr>
      <w:tr w14:paraId="55D08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14:paraId="07B7CBDC">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1</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458371D">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合同名称</w:t>
            </w:r>
          </w:p>
        </w:tc>
        <w:tc>
          <w:tcPr>
            <w:tcW w:w="6264" w:type="dxa"/>
            <w:tcBorders>
              <w:top w:val="single" w:color="auto" w:sz="4" w:space="0"/>
              <w:left w:val="single" w:color="auto" w:sz="4" w:space="0"/>
              <w:bottom w:val="single" w:color="auto" w:sz="4" w:space="0"/>
              <w:right w:val="single" w:color="auto" w:sz="4" w:space="0"/>
            </w:tcBorders>
            <w:vAlign w:val="center"/>
          </w:tcPr>
          <w:p w14:paraId="516C1483">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firstLine="420" w:firstLineChars="200"/>
              <w:jc w:val="both"/>
              <w:textAlignment w:val="auto"/>
              <w:rPr>
                <w:rFonts w:hint="eastAsia" w:ascii="宋体" w:hAnsi="宋体" w:eastAsia="宋体" w:cs="宋体"/>
                <w:bCs/>
                <w:kern w:val="2"/>
                <w:sz w:val="21"/>
                <w:szCs w:val="21"/>
                <w:lang w:eastAsia="zh-CN"/>
              </w:rPr>
            </w:pPr>
          </w:p>
        </w:tc>
      </w:tr>
      <w:tr w14:paraId="2D21C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14:paraId="61BB00F2">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2</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2D30A7F2">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合同编号</w:t>
            </w:r>
          </w:p>
        </w:tc>
        <w:tc>
          <w:tcPr>
            <w:tcW w:w="6264" w:type="dxa"/>
            <w:tcBorders>
              <w:top w:val="single" w:color="auto" w:sz="4" w:space="0"/>
              <w:left w:val="single" w:color="auto" w:sz="4" w:space="0"/>
              <w:bottom w:val="single" w:color="auto" w:sz="4" w:space="0"/>
              <w:right w:val="single" w:color="auto" w:sz="4" w:space="0"/>
            </w:tcBorders>
            <w:vAlign w:val="center"/>
          </w:tcPr>
          <w:p w14:paraId="72E48B96">
            <w:pPr>
              <w:keepNext w:val="0"/>
              <w:keepLines w:val="0"/>
              <w:pageBreakBefore w:val="0"/>
              <w:widowControl w:val="0"/>
              <w:suppressLineNumbers w:val="0"/>
              <w:tabs>
                <w:tab w:val="left" w:pos="216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auto"/>
              <w:rPr>
                <w:rFonts w:hint="eastAsia" w:ascii="宋体" w:hAnsi="宋体" w:eastAsia="宋体" w:cs="宋体"/>
                <w:bCs/>
                <w:kern w:val="2"/>
                <w:sz w:val="21"/>
                <w:szCs w:val="21"/>
                <w:lang w:eastAsia="zh-CN"/>
              </w:rPr>
            </w:pPr>
          </w:p>
        </w:tc>
      </w:tr>
      <w:tr w14:paraId="20A08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14:paraId="5C4EF091">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3</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1F761F4C">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合同类型</w:t>
            </w:r>
          </w:p>
        </w:tc>
        <w:tc>
          <w:tcPr>
            <w:tcW w:w="6264" w:type="dxa"/>
            <w:tcBorders>
              <w:top w:val="single" w:color="auto" w:sz="4" w:space="0"/>
              <w:left w:val="single" w:color="auto" w:sz="4" w:space="0"/>
              <w:bottom w:val="single" w:color="auto" w:sz="4" w:space="0"/>
              <w:right w:val="single" w:color="auto" w:sz="4" w:space="0"/>
            </w:tcBorders>
            <w:vAlign w:val="center"/>
          </w:tcPr>
          <w:p w14:paraId="16829B1D">
            <w:pPr>
              <w:keepNext w:val="0"/>
              <w:keepLines w:val="0"/>
              <w:pageBreakBefore w:val="0"/>
              <w:widowControl w:val="0"/>
              <w:suppressLineNumbers w:val="0"/>
              <w:tabs>
                <w:tab w:val="left" w:pos="216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r>
      <w:tr w14:paraId="7AC5E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14:paraId="330AB992">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4</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3CF5D755">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定价方式</w:t>
            </w:r>
          </w:p>
        </w:tc>
        <w:tc>
          <w:tcPr>
            <w:tcW w:w="6264" w:type="dxa"/>
            <w:tcBorders>
              <w:top w:val="single" w:color="auto" w:sz="4" w:space="0"/>
              <w:left w:val="single" w:color="auto" w:sz="4" w:space="0"/>
              <w:bottom w:val="single" w:color="auto" w:sz="4" w:space="0"/>
              <w:right w:val="single" w:color="auto" w:sz="4" w:space="0"/>
            </w:tcBorders>
            <w:vAlign w:val="center"/>
          </w:tcPr>
          <w:p w14:paraId="149FCE02">
            <w:pPr>
              <w:keepNext w:val="0"/>
              <w:keepLines w:val="0"/>
              <w:pageBreakBefore w:val="0"/>
              <w:widowControl w:val="0"/>
              <w:suppressLineNumbers w:val="0"/>
              <w:tabs>
                <w:tab w:val="left" w:pos="216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r>
      <w:tr w14:paraId="6C776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14:paraId="1414F40D">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5</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5B0FA32C">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项目类别</w:t>
            </w:r>
          </w:p>
        </w:tc>
        <w:tc>
          <w:tcPr>
            <w:tcW w:w="6264" w:type="dxa"/>
            <w:tcBorders>
              <w:top w:val="single" w:color="auto" w:sz="4" w:space="0"/>
              <w:left w:val="single" w:color="auto" w:sz="4" w:space="0"/>
              <w:bottom w:val="single" w:color="auto" w:sz="4" w:space="0"/>
              <w:right w:val="single" w:color="auto" w:sz="4" w:space="0"/>
            </w:tcBorders>
            <w:vAlign w:val="center"/>
          </w:tcPr>
          <w:p w14:paraId="28C7934F">
            <w:pPr>
              <w:keepNext w:val="0"/>
              <w:keepLines w:val="0"/>
              <w:pageBreakBefore w:val="0"/>
              <w:widowControl w:val="0"/>
              <w:suppressLineNumbers w:val="0"/>
              <w:tabs>
                <w:tab w:val="left" w:pos="2160"/>
              </w:tabs>
              <w:kinsoku/>
              <w:wordWrap/>
              <w:overflowPunct/>
              <w:topLinePunct/>
              <w:autoSpaceDE w:val="0"/>
              <w:autoSpaceDN w:val="0"/>
              <w:bidi w:val="0"/>
              <w:adjustRightInd w:val="0"/>
              <w:snapToGrid w:val="0"/>
              <w:spacing w:before="100" w:beforeAutospacing="1" w:after="0" w:afterAutospacing="0" w:line="257" w:lineRule="auto"/>
              <w:ind w:left="0" w:right="0"/>
              <w:jc w:val="both"/>
              <w:textAlignment w:val="auto"/>
              <w:rPr>
                <w:rFonts w:hint="eastAsia" w:ascii="宋体" w:hAnsi="宋体" w:eastAsia="宋体" w:cs="宋体"/>
                <w:kern w:val="2"/>
                <w:sz w:val="21"/>
                <w:szCs w:val="21"/>
                <w:lang w:eastAsia="zh-CN"/>
              </w:rPr>
            </w:pPr>
            <w:r>
              <w:rPr>
                <w:rFonts w:hint="eastAsia" w:ascii="Wingdings 2" w:hAnsi="Wingdings 2" w:eastAsia="宋体" w:cs="宋体"/>
                <w:color w:val="000000"/>
                <w:kern w:val="2"/>
                <w:sz w:val="21"/>
                <w:szCs w:val="21"/>
                <w:highlight w:val="white"/>
                <w:lang w:eastAsia="zh-CN" w:bidi="ar"/>
              </w:rPr>
              <w:t>□</w:t>
            </w:r>
            <w:r>
              <w:rPr>
                <w:rFonts w:hint="eastAsia" w:ascii="宋体" w:hAnsi="宋体" w:eastAsia="宋体" w:cs="宋体"/>
                <w:color w:val="000000"/>
                <w:kern w:val="2"/>
                <w:sz w:val="21"/>
                <w:szCs w:val="21"/>
                <w:highlight w:val="white"/>
                <w:lang w:eastAsia="zh-CN" w:bidi="ar"/>
              </w:rPr>
              <w:t>信息化项目     ☑</w:t>
            </w:r>
            <w:r>
              <w:rPr>
                <w:rFonts w:hint="eastAsia" w:ascii="Wingdings 2" w:hAnsi="Wingdings 2" w:eastAsia="宋体" w:cs="宋体"/>
                <w:color w:val="000000"/>
                <w:kern w:val="2"/>
                <w:sz w:val="21"/>
                <w:szCs w:val="21"/>
                <w:highlight w:val="white"/>
                <w:lang w:eastAsia="zh-CN" w:bidi="ar"/>
              </w:rPr>
              <w:t>非信息化项目</w:t>
            </w:r>
          </w:p>
        </w:tc>
      </w:tr>
      <w:tr w14:paraId="384A3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restart"/>
            <w:tcBorders>
              <w:top w:val="single" w:color="auto" w:sz="4" w:space="0"/>
              <w:left w:val="single" w:color="auto" w:sz="4" w:space="0"/>
              <w:right w:val="single" w:color="auto" w:sz="4" w:space="0"/>
            </w:tcBorders>
            <w:vAlign w:val="center"/>
          </w:tcPr>
          <w:p w14:paraId="3BC8BDBE">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6</w:t>
            </w:r>
          </w:p>
        </w:tc>
        <w:tc>
          <w:tcPr>
            <w:tcW w:w="1909" w:type="dxa"/>
            <w:gridSpan w:val="2"/>
            <w:tcBorders>
              <w:top w:val="single" w:color="auto" w:sz="4" w:space="0"/>
              <w:left w:val="single" w:color="auto" w:sz="4" w:space="0"/>
              <w:bottom w:val="single" w:color="auto" w:sz="6" w:space="0"/>
              <w:right w:val="single" w:color="auto" w:sz="6" w:space="0"/>
            </w:tcBorders>
            <w:vAlign w:val="center"/>
          </w:tcPr>
          <w:p w14:paraId="7272985E">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甲方名称</w:t>
            </w:r>
          </w:p>
        </w:tc>
        <w:tc>
          <w:tcPr>
            <w:tcW w:w="6264" w:type="dxa"/>
            <w:tcBorders>
              <w:top w:val="single" w:color="auto" w:sz="4" w:space="0"/>
              <w:left w:val="single" w:color="auto" w:sz="6" w:space="0"/>
              <w:bottom w:val="single" w:color="auto" w:sz="6" w:space="0"/>
              <w:right w:val="single" w:color="auto" w:sz="4" w:space="0"/>
            </w:tcBorders>
            <w:vAlign w:val="center"/>
          </w:tcPr>
          <w:p w14:paraId="593CAC31">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r>
      <w:tr w14:paraId="5F8C6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14:paraId="63788481">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6" w:space="0"/>
              <w:left w:val="single" w:color="auto" w:sz="4" w:space="0"/>
              <w:bottom w:val="single" w:color="auto" w:sz="6" w:space="0"/>
              <w:right w:val="single" w:color="auto" w:sz="6" w:space="0"/>
            </w:tcBorders>
            <w:vAlign w:val="center"/>
          </w:tcPr>
          <w:p w14:paraId="2F81C15D">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甲方地址</w:t>
            </w:r>
          </w:p>
        </w:tc>
        <w:tc>
          <w:tcPr>
            <w:tcW w:w="6264" w:type="dxa"/>
            <w:tcBorders>
              <w:top w:val="single" w:color="auto" w:sz="6" w:space="0"/>
              <w:left w:val="single" w:color="auto" w:sz="6" w:space="0"/>
              <w:bottom w:val="single" w:color="auto" w:sz="6" w:space="0"/>
              <w:right w:val="single" w:color="auto" w:sz="4" w:space="0"/>
            </w:tcBorders>
            <w:vAlign w:val="center"/>
          </w:tcPr>
          <w:p w14:paraId="2A057795">
            <w:pPr>
              <w:keepNext w:val="0"/>
              <w:keepLines w:val="0"/>
              <w:widowControl/>
              <w:suppressLineNumbers w:val="0"/>
              <w:shd w:val="clear" w:color="auto" w:fill="FFFFFF"/>
              <w:adjustRightInd w:val="0"/>
              <w:snapToGrid w:val="0"/>
              <w:spacing w:before="62" w:beforeLines="20" w:beforeAutospacing="0" w:after="62" w:afterLines="20" w:afterAutospacing="0" w:line="360" w:lineRule="auto"/>
              <w:ind w:left="0" w:leftChars="0" w:right="0" w:firstLine="0" w:firstLineChars="0"/>
              <w:jc w:val="left"/>
              <w:rPr>
                <w:rFonts w:eastAsia="宋体"/>
                <w:strike/>
                <w:kern w:val="2"/>
                <w:sz w:val="21"/>
                <w:highlight w:val="yellow"/>
                <w:lang w:eastAsia="zh-CN"/>
              </w:rPr>
            </w:pPr>
          </w:p>
        </w:tc>
      </w:tr>
      <w:tr w14:paraId="4329A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655" w:type="dxa"/>
            <w:vMerge w:val="continue"/>
            <w:tcBorders>
              <w:left w:val="single" w:color="auto" w:sz="4" w:space="0"/>
              <w:right w:val="single" w:color="auto" w:sz="4" w:space="0"/>
            </w:tcBorders>
            <w:vAlign w:val="center"/>
          </w:tcPr>
          <w:p w14:paraId="2DC2D6E6">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restart"/>
            <w:tcBorders>
              <w:top w:val="single" w:color="auto" w:sz="6" w:space="0"/>
              <w:left w:val="single" w:color="auto" w:sz="4" w:space="0"/>
              <w:right w:val="single" w:color="auto" w:sz="4" w:space="0"/>
            </w:tcBorders>
            <w:vAlign w:val="center"/>
          </w:tcPr>
          <w:p w14:paraId="34AB3C62">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甲方相关部门</w:t>
            </w:r>
          </w:p>
        </w:tc>
        <w:tc>
          <w:tcPr>
            <w:tcW w:w="1500" w:type="dxa"/>
            <w:tcBorders>
              <w:top w:val="single" w:color="auto" w:sz="6" w:space="0"/>
              <w:left w:val="single" w:color="auto" w:sz="4" w:space="0"/>
              <w:bottom w:val="single" w:color="auto" w:sz="6" w:space="0"/>
              <w:right w:val="single" w:color="auto" w:sz="6" w:space="0"/>
            </w:tcBorders>
            <w:vAlign w:val="center"/>
          </w:tcPr>
          <w:p w14:paraId="71927CC8">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甲方采购部门</w:t>
            </w:r>
          </w:p>
        </w:tc>
        <w:tc>
          <w:tcPr>
            <w:tcW w:w="6264" w:type="dxa"/>
            <w:tcBorders>
              <w:top w:val="single" w:color="auto" w:sz="6" w:space="0"/>
              <w:left w:val="single" w:color="auto" w:sz="6" w:space="0"/>
              <w:bottom w:val="single" w:color="auto" w:sz="6" w:space="0"/>
              <w:right w:val="single" w:color="auto" w:sz="4" w:space="0"/>
            </w:tcBorders>
            <w:vAlign w:val="center"/>
          </w:tcPr>
          <w:p w14:paraId="076E8E46">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strike/>
                <w:kern w:val="2"/>
                <w:sz w:val="21"/>
                <w:szCs w:val="21"/>
                <w:highlight w:val="yellow"/>
                <w:lang w:eastAsia="zh-CN"/>
              </w:rPr>
            </w:pPr>
          </w:p>
        </w:tc>
      </w:tr>
      <w:tr w14:paraId="140C3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14:paraId="3AF611DB">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continue"/>
            <w:tcBorders>
              <w:left w:val="single" w:color="auto" w:sz="4" w:space="0"/>
              <w:right w:val="single" w:color="auto" w:sz="4" w:space="0"/>
            </w:tcBorders>
            <w:vAlign w:val="center"/>
          </w:tcPr>
          <w:p w14:paraId="41BEFB9C">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p>
        </w:tc>
        <w:tc>
          <w:tcPr>
            <w:tcW w:w="1500" w:type="dxa"/>
            <w:tcBorders>
              <w:top w:val="single" w:color="auto" w:sz="6" w:space="0"/>
              <w:left w:val="single" w:color="auto" w:sz="4" w:space="0"/>
              <w:bottom w:val="single" w:color="auto" w:sz="6" w:space="0"/>
              <w:right w:val="single" w:color="auto" w:sz="6" w:space="0"/>
            </w:tcBorders>
            <w:vAlign w:val="center"/>
          </w:tcPr>
          <w:p w14:paraId="34EBC01F">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联系人</w:t>
            </w:r>
          </w:p>
        </w:tc>
        <w:tc>
          <w:tcPr>
            <w:tcW w:w="6264" w:type="dxa"/>
            <w:tcBorders>
              <w:top w:val="single" w:color="auto" w:sz="6" w:space="0"/>
              <w:left w:val="single" w:color="auto" w:sz="6" w:space="0"/>
              <w:bottom w:val="single" w:color="auto" w:sz="6" w:space="0"/>
              <w:right w:val="single" w:color="auto" w:sz="4" w:space="0"/>
            </w:tcBorders>
            <w:vAlign w:val="center"/>
          </w:tcPr>
          <w:p w14:paraId="1A6DC0BE">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hint="eastAsia" w:ascii="宋体" w:hAnsi="宋体" w:eastAsia="宋体" w:cs="宋体"/>
                <w:kern w:val="2"/>
                <w:sz w:val="21"/>
                <w:szCs w:val="21"/>
                <w:lang w:eastAsia="zh-CN"/>
              </w:rPr>
            </w:pPr>
          </w:p>
        </w:tc>
      </w:tr>
      <w:tr w14:paraId="6E290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14:paraId="23EC5BA6">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continue"/>
            <w:tcBorders>
              <w:left w:val="single" w:color="auto" w:sz="4" w:space="0"/>
              <w:right w:val="single" w:color="auto" w:sz="4" w:space="0"/>
            </w:tcBorders>
            <w:vAlign w:val="center"/>
          </w:tcPr>
          <w:p w14:paraId="03FB610E">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p>
        </w:tc>
        <w:tc>
          <w:tcPr>
            <w:tcW w:w="1500" w:type="dxa"/>
            <w:tcBorders>
              <w:top w:val="single" w:color="auto" w:sz="6" w:space="0"/>
              <w:left w:val="single" w:color="auto" w:sz="4" w:space="0"/>
              <w:bottom w:val="single" w:color="auto" w:sz="4" w:space="0"/>
              <w:right w:val="single" w:color="auto" w:sz="6" w:space="0"/>
            </w:tcBorders>
            <w:vAlign w:val="center"/>
          </w:tcPr>
          <w:p w14:paraId="2834DF46">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联系电话</w:t>
            </w:r>
          </w:p>
        </w:tc>
        <w:tc>
          <w:tcPr>
            <w:tcW w:w="6264" w:type="dxa"/>
            <w:tcBorders>
              <w:top w:val="single" w:color="auto" w:sz="6" w:space="0"/>
              <w:left w:val="single" w:color="auto" w:sz="6" w:space="0"/>
              <w:bottom w:val="single" w:color="auto" w:sz="4" w:space="0"/>
              <w:right w:val="single" w:color="auto" w:sz="4" w:space="0"/>
            </w:tcBorders>
            <w:vAlign w:val="center"/>
          </w:tcPr>
          <w:p w14:paraId="472A722B">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ascii="宋体" w:hAnsi="宋体" w:eastAsia="宋体" w:cs="宋体"/>
                <w:kern w:val="2"/>
                <w:sz w:val="21"/>
                <w:szCs w:val="21"/>
                <w:lang w:eastAsia="zh-CN"/>
              </w:rPr>
            </w:pPr>
          </w:p>
        </w:tc>
      </w:tr>
      <w:tr w14:paraId="0BE85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14:paraId="371DD45E">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continue"/>
            <w:tcBorders>
              <w:left w:val="single" w:color="auto" w:sz="4" w:space="0"/>
              <w:right w:val="single" w:color="auto" w:sz="4" w:space="0"/>
            </w:tcBorders>
            <w:vAlign w:val="center"/>
          </w:tcPr>
          <w:p w14:paraId="6E6DA33E">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p>
        </w:tc>
        <w:tc>
          <w:tcPr>
            <w:tcW w:w="1500" w:type="dxa"/>
            <w:tcBorders>
              <w:top w:val="single" w:color="auto" w:sz="6" w:space="0"/>
              <w:left w:val="single" w:color="auto" w:sz="4" w:space="0"/>
              <w:bottom w:val="single" w:color="auto" w:sz="4" w:space="0"/>
              <w:right w:val="single" w:color="auto" w:sz="6" w:space="0"/>
            </w:tcBorders>
            <w:vAlign w:val="center"/>
          </w:tcPr>
          <w:p w14:paraId="3FD34C8E">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甲方需求部门</w:t>
            </w:r>
          </w:p>
        </w:tc>
        <w:tc>
          <w:tcPr>
            <w:tcW w:w="6264" w:type="dxa"/>
            <w:tcBorders>
              <w:top w:val="single" w:color="auto" w:sz="6" w:space="0"/>
              <w:left w:val="single" w:color="auto" w:sz="6" w:space="0"/>
              <w:bottom w:val="single" w:color="auto" w:sz="4" w:space="0"/>
              <w:right w:val="single" w:color="auto" w:sz="4" w:space="0"/>
            </w:tcBorders>
            <w:vAlign w:val="center"/>
          </w:tcPr>
          <w:p w14:paraId="2F4FEAF5">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业务需求部门：       技术需求部门：</w:t>
            </w:r>
          </w:p>
        </w:tc>
      </w:tr>
      <w:tr w14:paraId="67775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14:paraId="16BD78A0">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continue"/>
            <w:tcBorders>
              <w:left w:val="single" w:color="auto" w:sz="4" w:space="0"/>
              <w:right w:val="single" w:color="auto" w:sz="4" w:space="0"/>
            </w:tcBorders>
            <w:vAlign w:val="center"/>
          </w:tcPr>
          <w:p w14:paraId="03567898">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p>
        </w:tc>
        <w:tc>
          <w:tcPr>
            <w:tcW w:w="1500" w:type="dxa"/>
            <w:tcBorders>
              <w:top w:val="single" w:color="auto" w:sz="6" w:space="0"/>
              <w:left w:val="single" w:color="auto" w:sz="4" w:space="0"/>
              <w:bottom w:val="single" w:color="auto" w:sz="4" w:space="0"/>
              <w:right w:val="single" w:color="auto" w:sz="6" w:space="0"/>
            </w:tcBorders>
            <w:vAlign w:val="center"/>
          </w:tcPr>
          <w:p w14:paraId="21D812BC">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联系人</w:t>
            </w:r>
          </w:p>
        </w:tc>
        <w:tc>
          <w:tcPr>
            <w:tcW w:w="6264" w:type="dxa"/>
            <w:tcBorders>
              <w:top w:val="single" w:color="auto" w:sz="6" w:space="0"/>
              <w:left w:val="single" w:color="auto" w:sz="6" w:space="0"/>
              <w:bottom w:val="single" w:color="auto" w:sz="4" w:space="0"/>
              <w:right w:val="single" w:color="auto" w:sz="4" w:space="0"/>
            </w:tcBorders>
            <w:vAlign w:val="center"/>
          </w:tcPr>
          <w:p w14:paraId="121B9E0C">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hint="eastAsia" w:ascii="宋体" w:hAnsi="宋体" w:eastAsia="宋体" w:cs="宋体"/>
                <w:kern w:val="2"/>
                <w:sz w:val="21"/>
                <w:szCs w:val="21"/>
                <w:lang w:eastAsia="zh-CN"/>
              </w:rPr>
            </w:pPr>
          </w:p>
        </w:tc>
      </w:tr>
      <w:tr w14:paraId="6A74B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bottom w:val="single" w:color="auto" w:sz="4" w:space="0"/>
              <w:right w:val="single" w:color="auto" w:sz="4" w:space="0"/>
            </w:tcBorders>
            <w:vAlign w:val="center"/>
          </w:tcPr>
          <w:p w14:paraId="08A7C546">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continue"/>
            <w:tcBorders>
              <w:left w:val="single" w:color="auto" w:sz="4" w:space="0"/>
              <w:bottom w:val="single" w:color="auto" w:sz="4" w:space="0"/>
              <w:right w:val="single" w:color="auto" w:sz="4" w:space="0"/>
            </w:tcBorders>
            <w:vAlign w:val="center"/>
          </w:tcPr>
          <w:p w14:paraId="7EDB58A2">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p>
        </w:tc>
        <w:tc>
          <w:tcPr>
            <w:tcW w:w="1500" w:type="dxa"/>
            <w:tcBorders>
              <w:top w:val="single" w:color="auto" w:sz="6" w:space="0"/>
              <w:left w:val="single" w:color="auto" w:sz="4" w:space="0"/>
              <w:bottom w:val="single" w:color="auto" w:sz="4" w:space="0"/>
              <w:right w:val="single" w:color="auto" w:sz="6" w:space="0"/>
            </w:tcBorders>
            <w:vAlign w:val="center"/>
          </w:tcPr>
          <w:p w14:paraId="0A371D69">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联系电话</w:t>
            </w:r>
          </w:p>
        </w:tc>
        <w:tc>
          <w:tcPr>
            <w:tcW w:w="6264" w:type="dxa"/>
            <w:tcBorders>
              <w:top w:val="single" w:color="auto" w:sz="6" w:space="0"/>
              <w:left w:val="single" w:color="auto" w:sz="6" w:space="0"/>
              <w:bottom w:val="single" w:color="auto" w:sz="4" w:space="0"/>
              <w:right w:val="single" w:color="auto" w:sz="4" w:space="0"/>
            </w:tcBorders>
            <w:vAlign w:val="center"/>
          </w:tcPr>
          <w:p w14:paraId="76C12DDB">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hint="eastAsia" w:ascii="宋体" w:hAnsi="宋体" w:eastAsia="宋体" w:cs="宋体"/>
                <w:kern w:val="2"/>
                <w:sz w:val="21"/>
                <w:szCs w:val="21"/>
                <w:lang w:eastAsia="zh-CN"/>
              </w:rPr>
            </w:pPr>
          </w:p>
        </w:tc>
      </w:tr>
      <w:tr w14:paraId="5BE2B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restart"/>
            <w:tcBorders>
              <w:top w:val="single" w:color="auto" w:sz="4" w:space="0"/>
              <w:left w:val="single" w:color="auto" w:sz="4" w:space="0"/>
              <w:bottom w:val="single" w:color="auto" w:sz="4" w:space="0"/>
              <w:right w:val="single" w:color="auto" w:sz="4" w:space="0"/>
            </w:tcBorders>
            <w:vAlign w:val="center"/>
          </w:tcPr>
          <w:p w14:paraId="218EE767">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7</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56A5243D">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乙方名称</w:t>
            </w:r>
          </w:p>
        </w:tc>
        <w:tc>
          <w:tcPr>
            <w:tcW w:w="6264" w:type="dxa"/>
            <w:tcBorders>
              <w:top w:val="single" w:color="auto" w:sz="4" w:space="0"/>
              <w:left w:val="single" w:color="auto" w:sz="4" w:space="0"/>
              <w:bottom w:val="single" w:color="auto" w:sz="4" w:space="0"/>
              <w:right w:val="single" w:color="auto" w:sz="4" w:space="0"/>
            </w:tcBorders>
            <w:vAlign w:val="center"/>
          </w:tcPr>
          <w:p w14:paraId="0EE12878">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r>
      <w:tr w14:paraId="10424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89"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5E29B50C">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6195558E">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乙方企业性质</w:t>
            </w:r>
          </w:p>
        </w:tc>
        <w:tc>
          <w:tcPr>
            <w:tcW w:w="6264" w:type="dxa"/>
            <w:tcBorders>
              <w:top w:val="single" w:color="auto" w:sz="4" w:space="0"/>
              <w:left w:val="single" w:color="auto" w:sz="4" w:space="0"/>
              <w:bottom w:val="single" w:color="auto" w:sz="4" w:space="0"/>
              <w:right w:val="single" w:color="auto" w:sz="4" w:space="0"/>
            </w:tcBorders>
            <w:vAlign w:val="center"/>
          </w:tcPr>
          <w:p w14:paraId="3195EEF2">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 xml:space="preserve">□ 中型企业     □ 小型企业            □ 微型企业    </w:t>
            </w:r>
          </w:p>
          <w:p w14:paraId="76E244BC">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 监狱企业     □ 残疾人福利性单位    □ 其他</w:t>
            </w:r>
          </w:p>
        </w:tc>
      </w:tr>
      <w:tr w14:paraId="293DF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7D349565">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195FC92E">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乙方地址</w:t>
            </w:r>
          </w:p>
        </w:tc>
        <w:tc>
          <w:tcPr>
            <w:tcW w:w="6264" w:type="dxa"/>
            <w:tcBorders>
              <w:top w:val="single" w:color="auto" w:sz="4" w:space="0"/>
              <w:left w:val="single" w:color="auto" w:sz="4" w:space="0"/>
              <w:bottom w:val="single" w:color="auto" w:sz="4" w:space="0"/>
              <w:right w:val="single" w:color="auto" w:sz="4" w:space="0"/>
            </w:tcBorders>
            <w:vAlign w:val="center"/>
          </w:tcPr>
          <w:p w14:paraId="4AC7B645">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ascii="宋体" w:hAnsi="宋体" w:eastAsia="宋体" w:cs="宋体"/>
                <w:kern w:val="2"/>
                <w:sz w:val="21"/>
                <w:szCs w:val="21"/>
                <w:lang w:eastAsia="zh-CN"/>
              </w:rPr>
            </w:pPr>
          </w:p>
        </w:tc>
      </w:tr>
      <w:tr w14:paraId="27B30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3C554CB3">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7415D616">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乙方联系人</w:t>
            </w:r>
          </w:p>
        </w:tc>
        <w:tc>
          <w:tcPr>
            <w:tcW w:w="6264" w:type="dxa"/>
            <w:tcBorders>
              <w:top w:val="single" w:color="auto" w:sz="4" w:space="0"/>
              <w:left w:val="single" w:color="auto" w:sz="4" w:space="0"/>
              <w:bottom w:val="single" w:color="auto" w:sz="4" w:space="0"/>
              <w:right w:val="single" w:color="auto" w:sz="4" w:space="0"/>
            </w:tcBorders>
            <w:vAlign w:val="center"/>
          </w:tcPr>
          <w:p w14:paraId="4AF4A639">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r>
      <w:tr w14:paraId="50BD6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4A358B47">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3F173212">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联系电话</w:t>
            </w:r>
          </w:p>
        </w:tc>
        <w:tc>
          <w:tcPr>
            <w:tcW w:w="6264" w:type="dxa"/>
            <w:tcBorders>
              <w:top w:val="single" w:color="auto" w:sz="4" w:space="0"/>
              <w:left w:val="single" w:color="auto" w:sz="4" w:space="0"/>
              <w:bottom w:val="single" w:color="auto" w:sz="4" w:space="0"/>
              <w:right w:val="single" w:color="auto" w:sz="4" w:space="0"/>
            </w:tcBorders>
            <w:vAlign w:val="center"/>
          </w:tcPr>
          <w:p w14:paraId="3BE121EA">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ascii="宋体" w:hAnsi="宋体" w:eastAsia="宋体" w:cs="宋体"/>
                <w:kern w:val="2"/>
                <w:sz w:val="21"/>
                <w:szCs w:val="21"/>
                <w:lang w:eastAsia="zh-CN"/>
              </w:rPr>
            </w:pPr>
          </w:p>
        </w:tc>
      </w:tr>
      <w:tr w14:paraId="47F82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1E688C4C">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40C8D404">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传真</w:t>
            </w:r>
          </w:p>
        </w:tc>
        <w:tc>
          <w:tcPr>
            <w:tcW w:w="6264" w:type="dxa"/>
            <w:tcBorders>
              <w:top w:val="single" w:color="auto" w:sz="4" w:space="0"/>
              <w:left w:val="single" w:color="auto" w:sz="4" w:space="0"/>
              <w:bottom w:val="single" w:color="auto" w:sz="4" w:space="0"/>
              <w:right w:val="single" w:color="auto" w:sz="4" w:space="0"/>
            </w:tcBorders>
            <w:vAlign w:val="center"/>
          </w:tcPr>
          <w:p w14:paraId="24AC2775">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r>
      <w:tr w14:paraId="57F38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30" w:hRule="atLeast"/>
        </w:trPr>
        <w:tc>
          <w:tcPr>
            <w:tcW w:w="655" w:type="dxa"/>
            <w:tcBorders>
              <w:top w:val="single" w:color="auto" w:sz="4" w:space="0"/>
              <w:left w:val="single" w:color="auto" w:sz="4" w:space="0"/>
              <w:bottom w:val="single" w:color="auto" w:sz="4" w:space="0"/>
              <w:right w:val="single" w:color="auto" w:sz="4" w:space="0"/>
            </w:tcBorders>
            <w:vAlign w:val="center"/>
          </w:tcPr>
          <w:p w14:paraId="459E4632">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8</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D6C00E6">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合同金额</w:t>
            </w:r>
          </w:p>
        </w:tc>
        <w:tc>
          <w:tcPr>
            <w:tcW w:w="6264" w:type="dxa"/>
            <w:tcBorders>
              <w:top w:val="single" w:color="auto" w:sz="4" w:space="0"/>
              <w:left w:val="single" w:color="auto" w:sz="4" w:space="0"/>
              <w:bottom w:val="single" w:color="auto" w:sz="4" w:space="0"/>
              <w:right w:val="single" w:color="auto" w:sz="4" w:space="0"/>
            </w:tcBorders>
            <w:vAlign w:val="center"/>
          </w:tcPr>
          <w:p w14:paraId="1F40FD2D">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人民币</w:t>
            </w:r>
            <w:r>
              <w:rPr>
                <w:rFonts w:hint="eastAsia" w:ascii="宋体" w:hAnsi="宋体" w:eastAsia="宋体" w:cs="宋体"/>
                <w:color w:val="000000"/>
                <w:kern w:val="2"/>
                <w:sz w:val="21"/>
                <w:szCs w:val="21"/>
                <w:highlight w:val="white"/>
                <w:u w:val="single"/>
                <w:lang w:eastAsia="zh-CN"/>
              </w:rPr>
              <w:t xml:space="preserve">        </w:t>
            </w:r>
            <w:r>
              <w:rPr>
                <w:rFonts w:hint="eastAsia" w:ascii="宋体" w:hAnsi="宋体" w:eastAsia="宋体" w:cs="宋体"/>
                <w:color w:val="000000"/>
                <w:kern w:val="2"/>
                <w:sz w:val="21"/>
                <w:szCs w:val="21"/>
                <w:highlight w:val="white"/>
                <w:lang w:eastAsia="zh-CN"/>
              </w:rPr>
              <w:t>元整（¥</w:t>
            </w:r>
            <w:r>
              <w:rPr>
                <w:rFonts w:hint="eastAsia" w:ascii="宋体" w:hAnsi="宋体" w:eastAsia="宋体" w:cs="宋体"/>
                <w:color w:val="000000"/>
                <w:kern w:val="2"/>
                <w:sz w:val="21"/>
                <w:szCs w:val="21"/>
                <w:highlight w:val="white"/>
                <w:u w:val="single"/>
                <w:lang w:eastAsia="zh-CN"/>
              </w:rPr>
              <w:t xml:space="preserve">           </w:t>
            </w:r>
            <w:r>
              <w:rPr>
                <w:rFonts w:hint="eastAsia" w:ascii="宋体" w:hAnsi="宋体" w:eastAsia="宋体" w:cs="宋体"/>
                <w:color w:val="000000"/>
                <w:kern w:val="2"/>
                <w:sz w:val="21"/>
                <w:szCs w:val="21"/>
                <w:highlight w:val="white"/>
                <w:lang w:eastAsia="zh-CN"/>
              </w:rPr>
              <w:t>）</w:t>
            </w:r>
          </w:p>
        </w:tc>
      </w:tr>
      <w:tr w14:paraId="2215E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1318" w:hRule="atLeast"/>
        </w:trPr>
        <w:tc>
          <w:tcPr>
            <w:tcW w:w="655" w:type="dxa"/>
            <w:tcBorders>
              <w:top w:val="single" w:color="auto" w:sz="4" w:space="0"/>
              <w:left w:val="single" w:color="auto" w:sz="4" w:space="0"/>
              <w:bottom w:val="single" w:color="auto" w:sz="4" w:space="0"/>
              <w:right w:val="single" w:color="auto" w:sz="4" w:space="0"/>
            </w:tcBorders>
            <w:vAlign w:val="center"/>
          </w:tcPr>
          <w:p w14:paraId="7ADE1110">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9</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3F99BE62">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服务内容</w:t>
            </w:r>
          </w:p>
        </w:tc>
        <w:tc>
          <w:tcPr>
            <w:tcW w:w="6264" w:type="dxa"/>
            <w:tcBorders>
              <w:top w:val="single" w:color="auto" w:sz="4" w:space="0"/>
              <w:left w:val="single" w:color="auto" w:sz="4" w:space="0"/>
              <w:bottom w:val="single" w:color="auto" w:sz="4" w:space="0"/>
              <w:right w:val="single" w:color="auto" w:sz="4" w:space="0"/>
            </w:tcBorders>
            <w:vAlign w:val="center"/>
          </w:tcPr>
          <w:p w14:paraId="438F64FC">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r>
      <w:tr w14:paraId="730FB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3406" w:hRule="atLeast"/>
        </w:trPr>
        <w:tc>
          <w:tcPr>
            <w:tcW w:w="655" w:type="dxa"/>
            <w:tcBorders>
              <w:top w:val="single" w:color="auto" w:sz="4" w:space="0"/>
              <w:left w:val="single" w:color="auto" w:sz="4" w:space="0"/>
              <w:bottom w:val="single" w:color="auto" w:sz="4" w:space="0"/>
              <w:right w:val="single" w:color="auto" w:sz="4" w:space="0"/>
            </w:tcBorders>
            <w:vAlign w:val="center"/>
          </w:tcPr>
          <w:p w14:paraId="5DF6EB59">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color w:val="000000"/>
                <w:kern w:val="2"/>
                <w:sz w:val="21"/>
                <w:szCs w:val="21"/>
                <w:highlight w:val="white"/>
                <w:lang w:eastAsia="zh-CN"/>
              </w:rPr>
              <w:t>10</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713F68B2">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合同付款</w:t>
            </w:r>
          </w:p>
        </w:tc>
        <w:tc>
          <w:tcPr>
            <w:tcW w:w="6264" w:type="dxa"/>
            <w:tcBorders>
              <w:top w:val="single" w:color="auto" w:sz="4" w:space="0"/>
              <w:left w:val="single" w:color="auto" w:sz="4" w:space="0"/>
              <w:bottom w:val="single" w:color="auto" w:sz="4" w:space="0"/>
              <w:right w:val="single" w:color="auto" w:sz="4" w:space="0"/>
            </w:tcBorders>
            <w:vAlign w:val="center"/>
          </w:tcPr>
          <w:p w14:paraId="2B1D7075">
            <w:pPr>
              <w:widowControl w:val="0"/>
              <w:numPr>
                <w:ilvl w:val="0"/>
                <w:numId w:val="0"/>
              </w:numPr>
              <w:tabs>
                <w:tab w:val="left" w:pos="840"/>
                <w:tab w:val="left" w:pos="900"/>
              </w:tabs>
              <w:adjustRightInd w:val="0"/>
              <w:snapToGrid w:val="0"/>
              <w:spacing w:after="0" w:line="240" w:lineRule="auto"/>
              <w:ind w:left="0" w:firstLine="0"/>
              <w:jc w:val="both"/>
              <w:rPr>
                <w:rFonts w:ascii="宋体" w:hAnsi="宋体" w:eastAsia="宋体" w:cs="宋体"/>
                <w:sz w:val="21"/>
                <w:szCs w:val="20"/>
                <w:lang w:eastAsia="zh-CN"/>
              </w:rPr>
            </w:pPr>
            <w:r>
              <w:rPr>
                <w:rFonts w:hint="eastAsia" w:ascii="宋体" w:hAnsi="宋体" w:eastAsia="宋体" w:cs="宋体"/>
                <w:color w:val="000000"/>
                <w:sz w:val="21"/>
                <w:szCs w:val="20"/>
                <w:highlight w:val="white"/>
                <w:lang w:eastAsia="zh-CN"/>
              </w:rPr>
              <w:t>1.乙方应在合同规定的服务期限内完成所有人员的体检服务，服务期限内所有人员收到体检报告，且对报告中的检查结果不存在异议，视为验收合格。</w:t>
            </w:r>
          </w:p>
          <w:p w14:paraId="2F278454">
            <w:pPr>
              <w:widowControl w:val="0"/>
              <w:numPr>
                <w:ilvl w:val="0"/>
                <w:numId w:val="0"/>
              </w:numPr>
              <w:tabs>
                <w:tab w:val="left" w:pos="840"/>
                <w:tab w:val="left" w:pos="900"/>
              </w:tabs>
              <w:adjustRightInd w:val="0"/>
              <w:snapToGrid w:val="0"/>
              <w:spacing w:after="0" w:line="240" w:lineRule="auto"/>
              <w:ind w:left="0" w:firstLine="0"/>
              <w:jc w:val="both"/>
              <w:rPr>
                <w:rFonts w:ascii="宋体" w:hAnsi="宋体" w:eastAsia="宋体" w:cs="宋体"/>
                <w:sz w:val="21"/>
                <w:szCs w:val="20"/>
                <w:lang w:eastAsia="zh-CN"/>
              </w:rPr>
            </w:pPr>
            <w:r>
              <w:rPr>
                <w:rFonts w:hint="eastAsia" w:ascii="宋体" w:hAnsi="宋体" w:eastAsia="宋体" w:cs="宋体"/>
                <w:color w:val="000000"/>
                <w:sz w:val="21"/>
                <w:szCs w:val="20"/>
                <w:highlight w:val="white"/>
                <w:lang w:eastAsia="zh-CN"/>
              </w:rPr>
              <w:t xml:space="preserve">2.乙方未按服务项目要求完成或者完成不彻底，须按要求重新安排体检，且甲方有权按照成交金额要求赔偿。    </w:t>
            </w:r>
          </w:p>
          <w:p w14:paraId="02B670A8">
            <w:pPr>
              <w:keepNext w:val="0"/>
              <w:keepLines w:val="0"/>
              <w:pageBreakBefore w:val="0"/>
              <w:widowControl w:val="0"/>
              <w:numPr>
                <w:ilvl w:val="0"/>
                <w:numId w:val="0"/>
              </w:numPr>
              <w:suppressLineNumbers w:val="0"/>
              <w:tabs>
                <w:tab w:val="left" w:pos="840"/>
              </w:tabs>
              <w:kinsoku/>
              <w:wordWrap/>
              <w:overflowPunct/>
              <w:bidi w:val="0"/>
              <w:adjustRightInd w:val="0"/>
              <w:snapToGrid w:val="0"/>
              <w:spacing w:before="0" w:beforeAutospacing="0" w:after="0" w:afterAutospacing="0" w:line="240" w:lineRule="auto"/>
              <w:ind w:left="0" w:right="0" w:firstLine="0"/>
              <w:jc w:val="both"/>
              <w:textAlignment w:val="auto"/>
              <w:rPr>
                <w:rFonts w:hint="eastAsia" w:ascii="宋体" w:hAnsi="宋体" w:eastAsia="宋体" w:cs="宋体"/>
                <w:sz w:val="21"/>
                <w:szCs w:val="20"/>
                <w:lang w:eastAsia="zh-CN"/>
              </w:rPr>
            </w:pPr>
            <w:r>
              <w:rPr>
                <w:rFonts w:hint="eastAsia" w:eastAsia="宋体" w:cs="宋体"/>
                <w:color w:val="000000"/>
                <w:kern w:val="2"/>
                <w:sz w:val="21"/>
                <w:highlight w:val="white"/>
                <w:lang w:eastAsia="zh-CN"/>
              </w:rPr>
              <w:t>3.合同签订后30个工作日内，乙方提出付款申请并出具等额合同发票，甲方一次性支付合同金额。</w:t>
            </w:r>
          </w:p>
        </w:tc>
      </w:tr>
      <w:tr w14:paraId="4745C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1" w:hRule="atLeast"/>
        </w:trPr>
        <w:tc>
          <w:tcPr>
            <w:tcW w:w="655" w:type="dxa"/>
            <w:tcBorders>
              <w:top w:val="single" w:color="auto" w:sz="4" w:space="0"/>
              <w:left w:val="single" w:color="auto" w:sz="4" w:space="0"/>
              <w:bottom w:val="single" w:color="auto" w:sz="4" w:space="0"/>
              <w:right w:val="single" w:color="auto" w:sz="4" w:space="0"/>
            </w:tcBorders>
            <w:noWrap/>
            <w:vAlign w:val="center"/>
          </w:tcPr>
          <w:p w14:paraId="34C5E557">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center"/>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1</w:t>
            </w:r>
            <w:r>
              <w:rPr>
                <w:rFonts w:ascii="宋体" w:hAnsi="宋体" w:eastAsia="宋体" w:cs="宋体"/>
                <w:color w:val="000000"/>
                <w:kern w:val="2"/>
                <w:sz w:val="21"/>
                <w:szCs w:val="21"/>
                <w:highlight w:val="white"/>
                <w:lang w:eastAsia="zh-CN"/>
              </w:rPr>
              <w:t>1</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14:paraId="0F7B3106">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center"/>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履约保证金及返还</w:t>
            </w:r>
          </w:p>
        </w:tc>
        <w:tc>
          <w:tcPr>
            <w:tcW w:w="6277" w:type="dxa"/>
            <w:gridSpan w:val="2"/>
            <w:tcBorders>
              <w:top w:val="single" w:color="auto" w:sz="4" w:space="0"/>
              <w:left w:val="single" w:color="auto" w:sz="4" w:space="0"/>
              <w:bottom w:val="single" w:color="auto" w:sz="4" w:space="0"/>
              <w:right w:val="single" w:color="auto" w:sz="4" w:space="0"/>
            </w:tcBorders>
            <w:noWrap/>
            <w:vAlign w:val="center"/>
          </w:tcPr>
          <w:p w14:paraId="35D12843">
            <w:pPr>
              <w:widowControl w:val="0"/>
              <w:tabs>
                <w:tab w:val="left" w:pos="700"/>
              </w:tabs>
              <w:adjustRightInd w:val="0"/>
              <w:snapToGrid w:val="0"/>
              <w:spacing w:after="0" w:line="260" w:lineRule="auto"/>
              <w:jc w:val="both"/>
              <w:rPr>
                <w:rFonts w:ascii="宋体" w:hAnsi="宋体" w:eastAsia="宋体" w:cs="宋体"/>
                <w:kern w:val="2"/>
                <w:sz w:val="21"/>
                <w:szCs w:val="21"/>
                <w:lang w:eastAsia="zh-CN"/>
              </w:rPr>
            </w:pPr>
            <w:r>
              <w:rPr>
                <w:rFonts w:hint="eastAsia" w:ascii="Wingdings 2" w:hAnsi="Wingdings 2" w:eastAsia="宋体" w:cs="宋体"/>
                <w:color w:val="000000"/>
                <w:kern w:val="2"/>
                <w:sz w:val="21"/>
                <w:szCs w:val="21"/>
                <w:highlight w:val="white"/>
                <w:lang w:eastAsia="zh-CN"/>
              </w:rPr>
              <w:t>☑</w:t>
            </w:r>
            <w:r>
              <w:rPr>
                <w:rFonts w:hint="eastAsia" w:ascii="宋体" w:hAnsi="宋体" w:eastAsia="宋体" w:cs="宋体"/>
                <w:color w:val="000000"/>
                <w:kern w:val="2"/>
                <w:sz w:val="21"/>
                <w:szCs w:val="21"/>
                <w:highlight w:val="white"/>
                <w:lang w:eastAsia="zh-CN"/>
              </w:rPr>
              <w:t>本项目不要求提供履约保证金。</w:t>
            </w:r>
          </w:p>
          <w:p w14:paraId="71EE7CA1">
            <w:pPr>
              <w:widowControl w:val="0"/>
              <w:tabs>
                <w:tab w:val="left" w:pos="700"/>
              </w:tabs>
              <w:adjustRightInd w:val="0"/>
              <w:snapToGrid w:val="0"/>
              <w:spacing w:before="62" w:beforeLines="20" w:after="62" w:afterLines="20" w:line="240" w:lineRule="auto"/>
              <w:jc w:val="both"/>
              <w:rPr>
                <w:rFonts w:ascii="宋体" w:hAnsi="宋体" w:eastAsia="宋体" w:cs="宋体"/>
                <w:kern w:val="2"/>
                <w:sz w:val="21"/>
                <w:szCs w:val="21"/>
                <w:lang w:eastAsia="zh-CN"/>
              </w:rPr>
            </w:pPr>
            <w:r>
              <w:rPr>
                <w:rFonts w:hint="eastAsia" w:ascii="Wingdings" w:hAnsi="Wingdings" w:eastAsia="宋体" w:cs="Wingdings"/>
                <w:color w:val="000000"/>
                <w:kern w:val="2"/>
                <w:sz w:val="21"/>
                <w:szCs w:val="21"/>
                <w:highlight w:val="white"/>
                <w:lang w:eastAsia="zh-CN"/>
              </w:rPr>
              <w:t>□</w:t>
            </w:r>
            <w:r>
              <w:rPr>
                <w:rFonts w:hint="eastAsia" w:ascii="宋体" w:hAnsi="宋体" w:eastAsia="宋体" w:cs="宋体"/>
                <w:color w:val="000000"/>
                <w:kern w:val="2"/>
                <w:sz w:val="21"/>
                <w:szCs w:val="21"/>
                <w:highlight w:val="white"/>
                <w:lang w:eastAsia="zh-CN"/>
              </w:rPr>
              <w:t>本项目要求提供履约保证金。履约保证金为合同总金额</w:t>
            </w:r>
            <w:r>
              <w:rPr>
                <w:rFonts w:hint="eastAsia" w:ascii="宋体" w:hAnsi="宋体" w:eastAsia="宋体" w:cs="宋体"/>
                <w:color w:val="000000"/>
                <w:kern w:val="2"/>
                <w:sz w:val="21"/>
                <w:szCs w:val="21"/>
                <w:highlight w:val="white"/>
                <w:u w:val="single"/>
                <w:lang w:eastAsia="zh-CN"/>
              </w:rPr>
              <w:t>3</w:t>
            </w:r>
            <w:r>
              <w:rPr>
                <w:rFonts w:hint="eastAsia" w:ascii="宋体" w:hAnsi="宋体" w:eastAsia="宋体" w:cs="宋体"/>
                <w:color w:val="000000"/>
                <w:kern w:val="2"/>
                <w:sz w:val="21"/>
                <w:szCs w:val="21"/>
                <w:highlight w:val="white"/>
                <w:lang w:eastAsia="zh-CN"/>
              </w:rPr>
              <w:t>%，即</w:t>
            </w:r>
            <w:r>
              <w:rPr>
                <w:rFonts w:hint="eastAsia" w:ascii="宋体" w:hAnsi="宋体" w:eastAsia="宋体" w:cs="宋体"/>
                <w:color w:val="000000"/>
                <w:kern w:val="2"/>
                <w:sz w:val="21"/>
                <w:highlight w:val="white"/>
                <w:lang w:eastAsia="zh-CN"/>
              </w:rPr>
              <w:t>人民币</w:t>
            </w:r>
            <w:r>
              <w:rPr>
                <w:rFonts w:hint="eastAsia" w:ascii="宋体" w:hAnsi="宋体" w:eastAsia="宋体" w:cs="宋体"/>
                <w:color w:val="000000"/>
                <w:kern w:val="2"/>
                <w:sz w:val="21"/>
                <w:highlight w:val="white"/>
                <w:u w:val="single"/>
                <w:lang w:eastAsia="zh-CN"/>
              </w:rPr>
              <w:t xml:space="preserve">        </w:t>
            </w:r>
            <w:r>
              <w:rPr>
                <w:rFonts w:hint="eastAsia" w:ascii="宋体" w:hAnsi="宋体" w:eastAsia="宋体" w:cs="宋体"/>
                <w:color w:val="000000"/>
                <w:kern w:val="2"/>
                <w:sz w:val="21"/>
                <w:highlight w:val="white"/>
                <w:lang w:eastAsia="zh-CN"/>
              </w:rPr>
              <w:t>元整（¥</w:t>
            </w:r>
            <w:r>
              <w:rPr>
                <w:rFonts w:hint="eastAsia" w:ascii="宋体" w:hAnsi="宋体" w:eastAsia="宋体" w:cs="宋体"/>
                <w:color w:val="000000"/>
                <w:kern w:val="2"/>
                <w:sz w:val="21"/>
                <w:highlight w:val="white"/>
                <w:u w:val="single"/>
                <w:lang w:eastAsia="zh-CN"/>
              </w:rPr>
              <w:t xml:space="preserve">    </w:t>
            </w:r>
            <w:r>
              <w:rPr>
                <w:rFonts w:hint="eastAsia" w:ascii="宋体" w:hAnsi="宋体" w:eastAsia="宋体" w:cs="宋体"/>
                <w:color w:val="000000"/>
                <w:kern w:val="2"/>
                <w:sz w:val="21"/>
                <w:highlight w:val="white"/>
                <w:lang w:eastAsia="zh-CN"/>
              </w:rPr>
              <w:t>）</w:t>
            </w:r>
            <w:r>
              <w:rPr>
                <w:rFonts w:hint="eastAsia" w:ascii="宋体" w:hAnsi="宋体" w:eastAsia="宋体" w:cs="宋体"/>
                <w:color w:val="000000"/>
                <w:kern w:val="2"/>
                <w:sz w:val="21"/>
                <w:szCs w:val="21"/>
                <w:highlight w:val="white"/>
                <w:lang w:eastAsia="zh-CN"/>
              </w:rPr>
              <w:t>，乙方应在合同签订之日起30日内提交甲方。提交方式为银行电汇、金融机构或担保机构出具的保函。在合同履行期满，扣除应扣除的款项（如有）且双方无争议后，无息返还。</w:t>
            </w:r>
          </w:p>
          <w:p w14:paraId="76F85A93">
            <w:pPr>
              <w:widowControl w:val="0"/>
              <w:tabs>
                <w:tab w:val="left" w:pos="700"/>
              </w:tabs>
              <w:adjustRightInd w:val="0"/>
              <w:snapToGrid w:val="0"/>
              <w:spacing w:before="62" w:beforeLines="20" w:after="62" w:afterLines="20" w:line="240" w:lineRule="auto"/>
              <w:jc w:val="both"/>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办理返还履约保证金时，乙方应提供履约保证金返还申请（格式另附）、合同关键页复印件、合同约定的其他资料。涉及验收的，应同时提交甲方实施部门出具的项目终验意见或质量保障期（服务期）满验收意见。</w:t>
            </w:r>
          </w:p>
          <w:p w14:paraId="316F96C9">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满足履约保证金返还条件的，甲方在收到返还相关信息等合同约定资料后，进行核实。对核实结果无异议的，自完成核实之日起30日内，以电汇方式返还履约保证金或退回保函。</w:t>
            </w:r>
          </w:p>
        </w:tc>
      </w:tr>
      <w:tr w14:paraId="1F252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71" w:hRule="atLeast"/>
        </w:trPr>
        <w:tc>
          <w:tcPr>
            <w:tcW w:w="655" w:type="dxa"/>
            <w:tcBorders>
              <w:top w:val="single" w:color="auto" w:sz="4" w:space="0"/>
              <w:left w:val="single" w:color="auto" w:sz="4" w:space="0"/>
              <w:bottom w:val="single" w:color="auto" w:sz="4" w:space="0"/>
              <w:right w:val="single" w:color="auto" w:sz="4" w:space="0"/>
            </w:tcBorders>
            <w:vAlign w:val="center"/>
          </w:tcPr>
          <w:p w14:paraId="6EFA2A6C">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1</w:t>
            </w:r>
            <w:r>
              <w:rPr>
                <w:rFonts w:ascii="宋体" w:hAnsi="宋体" w:eastAsia="宋体" w:cs="宋体"/>
                <w:color w:val="000000"/>
                <w:kern w:val="2"/>
                <w:sz w:val="21"/>
                <w:szCs w:val="21"/>
                <w:highlight w:val="white"/>
                <w:lang w:eastAsia="zh-CN"/>
              </w:rPr>
              <w:t>2</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16AF5B5E">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hint="eastAsia" w:ascii="宋体" w:hAnsi="宋体" w:eastAsia="宋体" w:cs="宋体"/>
                <w:color w:val="000000"/>
                <w:kern w:val="2"/>
                <w:sz w:val="21"/>
                <w:highlight w:val="white"/>
                <w:lang w:eastAsia="zh-CN"/>
              </w:rPr>
              <w:t>合同履行期限</w:t>
            </w:r>
          </w:p>
        </w:tc>
        <w:tc>
          <w:tcPr>
            <w:tcW w:w="6264" w:type="dxa"/>
            <w:tcBorders>
              <w:top w:val="single" w:color="auto" w:sz="4" w:space="0"/>
              <w:left w:val="single" w:color="auto" w:sz="4" w:space="0"/>
              <w:bottom w:val="single" w:color="auto" w:sz="4" w:space="0"/>
              <w:right w:val="single" w:color="auto" w:sz="4" w:space="0"/>
            </w:tcBorders>
            <w:vAlign w:val="center"/>
          </w:tcPr>
          <w:p w14:paraId="6E2BA93F">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自合同签订之日起至合同全部权利义务履行完毕之日止</w:t>
            </w:r>
          </w:p>
        </w:tc>
      </w:tr>
      <w:tr w14:paraId="4B26A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43" w:hRule="atLeast"/>
        </w:trPr>
        <w:tc>
          <w:tcPr>
            <w:tcW w:w="655" w:type="dxa"/>
            <w:tcBorders>
              <w:top w:val="single" w:color="auto" w:sz="4" w:space="0"/>
              <w:left w:val="single" w:color="auto" w:sz="4" w:space="0"/>
              <w:bottom w:val="single" w:color="auto" w:sz="4" w:space="0"/>
              <w:right w:val="single" w:color="auto" w:sz="4" w:space="0"/>
            </w:tcBorders>
            <w:vAlign w:val="center"/>
          </w:tcPr>
          <w:p w14:paraId="13A54F0D">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1</w:t>
            </w:r>
            <w:r>
              <w:rPr>
                <w:rFonts w:ascii="宋体" w:hAnsi="宋体" w:eastAsia="宋体" w:cs="宋体"/>
                <w:color w:val="000000"/>
                <w:kern w:val="2"/>
                <w:sz w:val="21"/>
                <w:szCs w:val="21"/>
                <w:highlight w:val="white"/>
                <w:lang w:eastAsia="zh-CN"/>
              </w:rPr>
              <w:t>3</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18B1702F">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val="en" w:eastAsia="zh-CN"/>
              </w:rPr>
            </w:pPr>
            <w:r>
              <w:rPr>
                <w:rFonts w:hint="eastAsia" w:ascii="宋体" w:hAnsi="宋体" w:eastAsia="宋体" w:cs="宋体"/>
                <w:color w:val="000000"/>
                <w:kern w:val="2"/>
                <w:sz w:val="21"/>
                <w:highlight w:val="white"/>
                <w:lang w:eastAsia="zh-CN"/>
              </w:rPr>
              <w:t>服务期</w:t>
            </w:r>
          </w:p>
        </w:tc>
        <w:tc>
          <w:tcPr>
            <w:tcW w:w="6264" w:type="dxa"/>
            <w:tcBorders>
              <w:top w:val="single" w:color="auto" w:sz="4" w:space="0"/>
              <w:left w:val="single" w:color="auto" w:sz="4" w:space="0"/>
              <w:bottom w:val="single" w:color="auto" w:sz="4" w:space="0"/>
              <w:right w:val="single" w:color="auto" w:sz="4" w:space="0"/>
            </w:tcBorders>
            <w:vAlign w:val="center"/>
          </w:tcPr>
          <w:p w14:paraId="2F8DE224">
            <w:pPr>
              <w:widowControl w:val="0"/>
              <w:tabs>
                <w:tab w:val="left" w:pos="700"/>
              </w:tabs>
              <w:adjustRightInd w:val="0"/>
              <w:snapToGrid w:val="0"/>
              <w:spacing w:before="62" w:beforeLines="20" w:after="62" w:afterLines="20" w:line="240" w:lineRule="auto"/>
              <w:jc w:val="both"/>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本项目一采三年，合同一年一签，第二年、第三年合同金额以实际体检人数为准。</w:t>
            </w:r>
          </w:p>
        </w:tc>
      </w:tr>
      <w:tr w14:paraId="542E5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0" w:hRule="atLeast"/>
        </w:trPr>
        <w:tc>
          <w:tcPr>
            <w:tcW w:w="655" w:type="dxa"/>
            <w:tcBorders>
              <w:top w:val="single" w:color="auto" w:sz="4" w:space="0"/>
              <w:left w:val="single" w:color="auto" w:sz="4" w:space="0"/>
              <w:bottom w:val="single" w:color="auto" w:sz="4" w:space="0"/>
              <w:right w:val="single" w:color="auto" w:sz="4" w:space="0"/>
            </w:tcBorders>
            <w:vAlign w:val="center"/>
          </w:tcPr>
          <w:p w14:paraId="549BF509">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1</w:t>
            </w:r>
            <w:r>
              <w:rPr>
                <w:rFonts w:ascii="宋体" w:hAnsi="宋体" w:eastAsia="宋体" w:cs="宋体"/>
                <w:color w:val="000000"/>
                <w:kern w:val="2"/>
                <w:sz w:val="21"/>
                <w:szCs w:val="21"/>
                <w:highlight w:val="white"/>
                <w:lang w:eastAsia="zh-CN"/>
              </w:rPr>
              <w:t>4</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1E2E53A5">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合同履约地点</w:t>
            </w:r>
          </w:p>
        </w:tc>
        <w:tc>
          <w:tcPr>
            <w:tcW w:w="6264" w:type="dxa"/>
            <w:tcBorders>
              <w:top w:val="single" w:color="auto" w:sz="4" w:space="0"/>
              <w:left w:val="single" w:color="auto" w:sz="4" w:space="0"/>
              <w:bottom w:val="single" w:color="auto" w:sz="4" w:space="0"/>
              <w:right w:val="single" w:color="auto" w:sz="4" w:space="0"/>
            </w:tcBorders>
            <w:vAlign w:val="center"/>
          </w:tcPr>
          <w:p w14:paraId="3DEBF896">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合同约定地点或甲方指定地点</w:t>
            </w:r>
          </w:p>
        </w:tc>
      </w:tr>
    </w:tbl>
    <w:p w14:paraId="4F20F3F7">
      <w:pPr>
        <w:widowControl w:val="0"/>
        <w:tabs>
          <w:tab w:val="left" w:pos="700"/>
        </w:tabs>
        <w:topLinePunct/>
        <w:autoSpaceDE w:val="0"/>
        <w:autoSpaceDN w:val="0"/>
        <w:spacing w:after="160" w:line="460" w:lineRule="exact"/>
        <w:jc w:val="both"/>
        <w:rPr>
          <w:rFonts w:hint="eastAsia" w:ascii="宋体" w:hAnsi="宋体" w:eastAsia="宋体" w:cs="宋体"/>
          <w:b/>
          <w:kern w:val="2"/>
          <w:lang w:eastAsia="zh-CN"/>
        </w:rPr>
      </w:pPr>
      <w:r>
        <w:rPr>
          <w:rFonts w:hint="eastAsia" w:ascii="宋体" w:hAnsi="宋体" w:eastAsia="宋体" w:cs="宋体"/>
          <w:b/>
          <w:color w:val="000000"/>
          <w:kern w:val="2"/>
          <w:sz w:val="28"/>
          <w:highlight w:val="white"/>
          <w:lang w:eastAsia="zh-CN"/>
        </w:rPr>
        <w:br w:type="page"/>
      </w:r>
    </w:p>
    <w:p w14:paraId="2586797B">
      <w:pPr>
        <w:widowControl w:val="0"/>
        <w:tabs>
          <w:tab w:val="left" w:pos="0"/>
        </w:tabs>
        <w:topLinePunct/>
        <w:autoSpaceDE w:val="0"/>
        <w:autoSpaceDN w:val="0"/>
        <w:snapToGrid w:val="0"/>
        <w:spacing w:after="0" w:line="360" w:lineRule="auto"/>
        <w:jc w:val="center"/>
        <w:rPr>
          <w:rFonts w:ascii="宋体" w:hAnsi="宋体" w:eastAsia="宋体" w:cs="宋体"/>
          <w:b/>
          <w:kern w:val="2"/>
          <w:lang w:eastAsia="zh-CN"/>
        </w:rPr>
      </w:pPr>
      <w:r>
        <w:rPr>
          <w:rFonts w:hint="eastAsia" w:ascii="宋体" w:hAnsi="宋体" w:eastAsia="宋体" w:cs="宋体"/>
          <w:b/>
          <w:color w:val="000000"/>
          <w:kern w:val="2"/>
          <w:highlight w:val="white"/>
          <w:lang w:eastAsia="zh-CN"/>
        </w:rPr>
        <w:t xml:space="preserve">一   合  同 </w:t>
      </w:r>
    </w:p>
    <w:p w14:paraId="5E259AA5">
      <w:pPr>
        <w:widowControl w:val="0"/>
        <w:tabs>
          <w:tab w:val="left" w:pos="540"/>
        </w:tabs>
        <w:topLinePunct/>
        <w:autoSpaceDE w:val="0"/>
        <w:autoSpaceDN w:val="0"/>
        <w:snapToGrid w:val="0"/>
        <w:spacing w:after="0" w:line="360" w:lineRule="auto"/>
        <w:jc w:val="both"/>
        <w:rPr>
          <w:rFonts w:ascii="宋体" w:hAnsi="宋体" w:eastAsia="宋体" w:cs="宋体"/>
          <w:b/>
          <w:kern w:val="2"/>
          <w:lang w:eastAsia="zh-CN"/>
        </w:rPr>
      </w:pPr>
    </w:p>
    <w:p w14:paraId="17621F2E">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lang w:eastAsia="zh-CN"/>
        </w:rPr>
      </w:pPr>
      <w:r>
        <w:rPr>
          <w:rFonts w:hint="eastAsia" w:ascii="宋体" w:hAnsi="宋体" w:eastAsia="宋体" w:cs="宋体"/>
          <w:color w:val="000000"/>
          <w:kern w:val="2"/>
          <w:highlight w:val="white"/>
          <w:u w:val="single"/>
          <w:lang w:eastAsia="zh-CN"/>
        </w:rPr>
        <w:t xml:space="preserve">       </w:t>
      </w:r>
      <w:r>
        <w:rPr>
          <w:rFonts w:hint="eastAsia" w:ascii="宋体" w:hAnsi="宋体" w:eastAsia="宋体" w:cs="宋体"/>
          <w:color w:val="000000"/>
          <w:kern w:val="2"/>
          <w:highlight w:val="white"/>
          <w:lang w:eastAsia="zh-CN"/>
        </w:rPr>
        <w:t>（以下简称“甲方”）通过</w:t>
      </w:r>
      <w:r>
        <w:rPr>
          <w:rFonts w:hint="eastAsia" w:ascii="宋体" w:hAnsi="宋体" w:eastAsia="宋体" w:cs="宋体"/>
          <w:color w:val="000000"/>
          <w:kern w:val="2"/>
          <w:highlight w:val="white"/>
          <w:u w:val="single"/>
          <w:lang w:eastAsia="zh-CN"/>
        </w:rPr>
        <w:t xml:space="preserve">    </w:t>
      </w:r>
      <w:r>
        <w:rPr>
          <w:rFonts w:hint="eastAsia" w:ascii="宋体" w:hAnsi="宋体" w:eastAsia="宋体" w:cs="宋体"/>
          <w:color w:val="000000"/>
          <w:kern w:val="2"/>
          <w:highlight w:val="white"/>
          <w:lang w:eastAsia="zh-CN"/>
        </w:rPr>
        <w:t>采购方式，确定______公司（以下简称“乙方”）为“</w:t>
      </w:r>
      <w:r>
        <w:rPr>
          <w:rFonts w:hint="eastAsia" w:ascii="宋体" w:hAnsi="宋体" w:eastAsia="宋体" w:cs="宋体"/>
          <w:color w:val="000000"/>
          <w:kern w:val="2"/>
          <w:highlight w:val="white"/>
          <w:u w:val="single"/>
          <w:lang w:eastAsia="zh-CN"/>
        </w:rPr>
        <w:t xml:space="preserve">    </w:t>
      </w:r>
      <w:r>
        <w:rPr>
          <w:rFonts w:hint="eastAsia" w:ascii="宋体" w:hAnsi="宋体" w:eastAsia="宋体" w:cs="宋体"/>
          <w:color w:val="000000"/>
          <w:kern w:val="2"/>
          <w:highlight w:val="white"/>
          <w:lang w:eastAsia="zh-CN"/>
        </w:rPr>
        <w:t>项目”中标（成交）供应商。甲乙双方同意按照该项目招标（采购）文件约定的内容，签署《</w:t>
      </w:r>
      <w:r>
        <w:rPr>
          <w:rFonts w:hint="eastAsia" w:ascii="宋体" w:hAnsi="宋体" w:eastAsia="宋体" w:cs="宋体"/>
          <w:color w:val="000000"/>
          <w:kern w:val="2"/>
          <w:highlight w:val="white"/>
          <w:u w:val="single"/>
          <w:lang w:eastAsia="zh-CN"/>
        </w:rPr>
        <w:t xml:space="preserve">   </w:t>
      </w:r>
      <w:r>
        <w:rPr>
          <w:rFonts w:hint="eastAsia" w:ascii="宋体" w:hAnsi="宋体" w:eastAsia="宋体" w:cs="宋体"/>
          <w:color w:val="000000"/>
          <w:kern w:val="2"/>
          <w:highlight w:val="white"/>
          <w:lang w:eastAsia="zh-CN"/>
        </w:rPr>
        <w:t>合同书》（合同编号：</w:t>
      </w:r>
      <w:r>
        <w:rPr>
          <w:rFonts w:hint="eastAsia" w:ascii="宋体" w:hAnsi="宋体" w:eastAsia="宋体" w:cs="宋体"/>
          <w:color w:val="000000"/>
          <w:kern w:val="2"/>
          <w:highlight w:val="white"/>
          <w:u w:val="single"/>
          <w:lang w:eastAsia="zh-CN"/>
        </w:rPr>
        <w:t xml:space="preserve">    </w:t>
      </w:r>
      <w:r>
        <w:rPr>
          <w:rFonts w:hint="eastAsia" w:ascii="宋体" w:hAnsi="宋体" w:eastAsia="宋体" w:cs="宋体"/>
          <w:color w:val="000000"/>
          <w:kern w:val="2"/>
          <w:highlight w:val="white"/>
          <w:lang w:eastAsia="zh-CN"/>
        </w:rPr>
        <w:t>，以下简称“合同”)。</w:t>
      </w:r>
    </w:p>
    <w:p w14:paraId="5AB34562">
      <w:pPr>
        <w:widowControl w:val="0"/>
        <w:topLinePunct/>
        <w:autoSpaceDE w:val="0"/>
        <w:autoSpaceDN w:val="0"/>
        <w:snapToGrid w:val="0"/>
        <w:spacing w:after="0" w:line="360" w:lineRule="auto"/>
        <w:ind w:left="482"/>
        <w:jc w:val="both"/>
        <w:rPr>
          <w:rFonts w:ascii="宋体" w:hAnsi="宋体" w:eastAsia="宋体" w:cs="宋体"/>
          <w:b/>
          <w:kern w:val="2"/>
          <w:lang w:eastAsia="zh-CN"/>
        </w:rPr>
      </w:pPr>
    </w:p>
    <w:p w14:paraId="529785A5">
      <w:pPr>
        <w:widowControl w:val="0"/>
        <w:topLinePunct/>
        <w:autoSpaceDE w:val="0"/>
        <w:autoSpaceDN w:val="0"/>
        <w:snapToGrid w:val="0"/>
        <w:spacing w:after="0" w:line="360" w:lineRule="auto"/>
        <w:ind w:left="482"/>
        <w:jc w:val="both"/>
        <w:rPr>
          <w:rFonts w:ascii="宋体" w:hAnsi="宋体" w:eastAsia="宋体" w:cs="宋体"/>
          <w:b/>
          <w:kern w:val="2"/>
          <w:lang w:eastAsia="zh-CN"/>
        </w:rPr>
      </w:pPr>
      <w:r>
        <w:rPr>
          <w:rFonts w:hint="eastAsia" w:ascii="宋体" w:hAnsi="宋体" w:eastAsia="宋体" w:cs="宋体"/>
          <w:b/>
          <w:color w:val="000000"/>
          <w:kern w:val="2"/>
          <w:highlight w:val="white"/>
          <w:lang w:eastAsia="zh-CN"/>
        </w:rPr>
        <w:t>1. 合同文件</w:t>
      </w:r>
    </w:p>
    <w:p w14:paraId="3A7ABE94">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lang w:eastAsia="zh-CN"/>
        </w:rPr>
      </w:pPr>
      <w:r>
        <w:rPr>
          <w:rFonts w:hint="eastAsia" w:ascii="宋体" w:hAnsi="宋体" w:eastAsia="宋体" w:cs="宋体"/>
          <w:color w:val="000000"/>
          <w:kern w:val="2"/>
          <w:highlight w:val="white"/>
          <w:lang w:eastAsia="zh-CN"/>
        </w:rPr>
        <w:t>本合同所附下列文件是构成本合同不可分割的部分：</w:t>
      </w:r>
    </w:p>
    <w:p w14:paraId="5ACBB653">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lang w:eastAsia="zh-CN"/>
        </w:rPr>
      </w:pPr>
      <w:r>
        <w:rPr>
          <w:rFonts w:hint="eastAsia" w:ascii="宋体" w:hAnsi="宋体" w:eastAsia="宋体" w:cs="宋体"/>
          <w:color w:val="000000"/>
          <w:kern w:val="2"/>
          <w:highlight w:val="white"/>
          <w:lang w:eastAsia="zh-CN"/>
        </w:rPr>
        <w:t>（1）合同通用条款；</w:t>
      </w:r>
    </w:p>
    <w:p w14:paraId="29AFF8F6">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lang w:eastAsia="zh-CN"/>
        </w:rPr>
      </w:pPr>
      <w:r>
        <w:rPr>
          <w:rFonts w:hint="eastAsia" w:ascii="宋体" w:hAnsi="宋体" w:eastAsia="宋体" w:cs="宋体"/>
          <w:color w:val="000000"/>
          <w:kern w:val="2"/>
          <w:highlight w:val="white"/>
          <w:lang w:eastAsia="zh-CN"/>
        </w:rPr>
        <w:t>（2）报价表（总报价表和分项报价表）；</w:t>
      </w:r>
    </w:p>
    <w:p w14:paraId="27E450A5">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lang w:eastAsia="zh-CN"/>
        </w:rPr>
      </w:pPr>
      <w:r>
        <w:rPr>
          <w:rFonts w:hint="eastAsia" w:ascii="宋体" w:hAnsi="宋体" w:eastAsia="宋体" w:cs="宋体"/>
          <w:color w:val="000000"/>
          <w:kern w:val="2"/>
          <w:highlight w:val="white"/>
          <w:lang w:eastAsia="zh-CN"/>
        </w:rPr>
        <w:t>（3）招标（采购）文件（另附）；</w:t>
      </w:r>
    </w:p>
    <w:p w14:paraId="6D7A55F3">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lang w:eastAsia="zh-CN"/>
        </w:rPr>
      </w:pPr>
      <w:r>
        <w:rPr>
          <w:rFonts w:hint="eastAsia" w:ascii="宋体" w:hAnsi="宋体" w:eastAsia="宋体" w:cs="宋体"/>
          <w:color w:val="000000"/>
          <w:kern w:val="2"/>
          <w:highlight w:val="white"/>
          <w:lang w:eastAsia="zh-CN"/>
        </w:rPr>
        <w:t>（4）投标（响应）文件（另附）。</w:t>
      </w:r>
    </w:p>
    <w:p w14:paraId="26EC9CBA">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lang w:eastAsia="zh-CN"/>
        </w:rPr>
      </w:pPr>
    </w:p>
    <w:p w14:paraId="0B3215A9">
      <w:pPr>
        <w:widowControl w:val="0"/>
        <w:topLinePunct/>
        <w:autoSpaceDE w:val="0"/>
        <w:autoSpaceDN w:val="0"/>
        <w:snapToGrid w:val="0"/>
        <w:spacing w:after="0" w:line="360" w:lineRule="auto"/>
        <w:ind w:left="482"/>
        <w:jc w:val="both"/>
        <w:rPr>
          <w:rFonts w:ascii="宋体" w:hAnsi="宋体" w:eastAsia="宋体" w:cs="宋体"/>
          <w:b/>
          <w:kern w:val="2"/>
          <w:lang w:eastAsia="zh-CN"/>
        </w:rPr>
      </w:pPr>
      <w:r>
        <w:rPr>
          <w:rFonts w:hint="eastAsia" w:ascii="宋体" w:hAnsi="宋体" w:eastAsia="宋体" w:cs="宋体"/>
          <w:b/>
          <w:color w:val="000000"/>
          <w:kern w:val="2"/>
          <w:highlight w:val="white"/>
          <w:lang w:eastAsia="zh-CN"/>
        </w:rPr>
        <w:t>2. 合同范围和条件</w:t>
      </w:r>
    </w:p>
    <w:p w14:paraId="713F6158">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lang w:eastAsia="zh-CN"/>
        </w:rPr>
      </w:pPr>
      <w:r>
        <w:rPr>
          <w:rFonts w:hint="eastAsia" w:ascii="宋体" w:hAnsi="宋体" w:eastAsia="宋体" w:cs="宋体"/>
          <w:color w:val="000000"/>
          <w:kern w:val="2"/>
          <w:highlight w:val="white"/>
          <w:lang w:eastAsia="zh-CN"/>
        </w:rPr>
        <w:t>本合同的范围和条件应与上述合同文件的规定相一致。</w:t>
      </w:r>
    </w:p>
    <w:p w14:paraId="0D943BD4">
      <w:pPr>
        <w:widowControl w:val="0"/>
        <w:tabs>
          <w:tab w:val="left" w:pos="700"/>
        </w:tabs>
        <w:topLinePunct/>
        <w:autoSpaceDE w:val="0"/>
        <w:autoSpaceDN w:val="0"/>
        <w:snapToGrid w:val="0"/>
        <w:spacing w:after="0" w:line="360" w:lineRule="auto"/>
        <w:ind w:firstLine="411" w:firstLineChars="196"/>
        <w:jc w:val="both"/>
        <w:rPr>
          <w:rFonts w:ascii="宋体" w:hAnsi="宋体" w:eastAsia="宋体" w:cs="宋体"/>
          <w:kern w:val="2"/>
          <w:lang w:eastAsia="zh-CN"/>
        </w:rPr>
      </w:pPr>
    </w:p>
    <w:p w14:paraId="67EDECE5">
      <w:pPr>
        <w:widowControl w:val="0"/>
        <w:tabs>
          <w:tab w:val="left" w:pos="700"/>
        </w:tabs>
        <w:topLinePunct/>
        <w:autoSpaceDE w:val="0"/>
        <w:autoSpaceDN w:val="0"/>
        <w:snapToGrid w:val="0"/>
        <w:spacing w:after="0" w:line="360" w:lineRule="auto"/>
        <w:ind w:firstLine="413" w:firstLineChars="196"/>
        <w:jc w:val="both"/>
        <w:rPr>
          <w:rFonts w:ascii="宋体" w:hAnsi="宋体" w:eastAsia="宋体" w:cs="宋体"/>
          <w:b/>
          <w:kern w:val="2"/>
          <w:lang w:eastAsia="zh-CN"/>
        </w:rPr>
      </w:pPr>
      <w:r>
        <w:rPr>
          <w:rFonts w:hint="eastAsia" w:ascii="宋体" w:hAnsi="宋体" w:eastAsia="宋体" w:cs="宋体"/>
          <w:b/>
          <w:color w:val="000000"/>
          <w:kern w:val="2"/>
          <w:highlight w:val="white"/>
          <w:lang w:eastAsia="zh-CN"/>
        </w:rPr>
        <w:t>3. 合同金额</w:t>
      </w:r>
    </w:p>
    <w:p w14:paraId="415B1CB4">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lang w:eastAsia="zh-CN"/>
        </w:rPr>
      </w:pPr>
      <w:r>
        <w:rPr>
          <w:rFonts w:hint="eastAsia" w:ascii="宋体" w:hAnsi="宋体" w:eastAsia="宋体" w:cs="宋体"/>
          <w:color w:val="000000"/>
          <w:kern w:val="2"/>
          <w:highlight w:val="white"/>
          <w:lang w:eastAsia="zh-CN"/>
        </w:rPr>
        <w:t>本合同金额为人民币</w:t>
      </w:r>
      <w:r>
        <w:rPr>
          <w:rFonts w:hint="eastAsia" w:ascii="宋体" w:hAnsi="宋体" w:eastAsia="宋体" w:cs="宋体"/>
          <w:color w:val="000000"/>
          <w:kern w:val="2"/>
          <w:highlight w:val="white"/>
          <w:u w:val="single"/>
          <w:lang w:eastAsia="zh-CN"/>
        </w:rPr>
        <w:t xml:space="preserve">        </w:t>
      </w:r>
      <w:r>
        <w:rPr>
          <w:rFonts w:hint="eastAsia" w:ascii="宋体" w:hAnsi="宋体" w:eastAsia="宋体" w:cs="宋体"/>
          <w:color w:val="000000"/>
          <w:kern w:val="2"/>
          <w:highlight w:val="white"/>
          <w:lang w:eastAsia="zh-CN"/>
        </w:rPr>
        <w:t>元整（¥</w:t>
      </w:r>
      <w:r>
        <w:rPr>
          <w:rFonts w:hint="eastAsia" w:ascii="宋体" w:hAnsi="宋体" w:eastAsia="宋体" w:cs="宋体"/>
          <w:color w:val="000000"/>
          <w:kern w:val="2"/>
          <w:highlight w:val="white"/>
          <w:u w:val="single"/>
          <w:lang w:eastAsia="zh-CN"/>
        </w:rPr>
        <w:t xml:space="preserve">          </w:t>
      </w:r>
      <w:r>
        <w:rPr>
          <w:rFonts w:hint="eastAsia" w:ascii="宋体" w:hAnsi="宋体" w:eastAsia="宋体" w:cs="宋体"/>
          <w:color w:val="000000"/>
          <w:kern w:val="2"/>
          <w:highlight w:val="white"/>
          <w:lang w:eastAsia="zh-CN"/>
        </w:rPr>
        <w:t>）。</w:t>
      </w:r>
    </w:p>
    <w:p w14:paraId="74E862AE">
      <w:pPr>
        <w:widowControl w:val="0"/>
        <w:tabs>
          <w:tab w:val="left" w:pos="700"/>
        </w:tabs>
        <w:topLinePunct/>
        <w:autoSpaceDE w:val="0"/>
        <w:autoSpaceDN w:val="0"/>
        <w:snapToGrid w:val="0"/>
        <w:spacing w:after="0" w:line="360" w:lineRule="auto"/>
        <w:ind w:firstLine="514" w:firstLineChars="245"/>
        <w:jc w:val="both"/>
        <w:rPr>
          <w:rFonts w:ascii="宋体" w:hAnsi="宋体" w:eastAsia="宋体" w:cs="宋体"/>
          <w:kern w:val="2"/>
          <w:lang w:eastAsia="zh-CN"/>
        </w:rPr>
      </w:pPr>
    </w:p>
    <w:p w14:paraId="4553DA56">
      <w:pPr>
        <w:widowControl w:val="0"/>
        <w:tabs>
          <w:tab w:val="left" w:pos="700"/>
        </w:tabs>
        <w:topLinePunct/>
        <w:autoSpaceDE w:val="0"/>
        <w:autoSpaceDN w:val="0"/>
        <w:snapToGrid w:val="0"/>
        <w:spacing w:after="0" w:line="360" w:lineRule="auto"/>
        <w:ind w:firstLine="422" w:firstLineChars="200"/>
        <w:jc w:val="both"/>
        <w:rPr>
          <w:rFonts w:ascii="宋体" w:hAnsi="宋体" w:eastAsia="宋体" w:cs="宋体"/>
          <w:b/>
          <w:kern w:val="2"/>
          <w:lang w:eastAsia="zh-CN"/>
        </w:rPr>
      </w:pPr>
      <w:r>
        <w:rPr>
          <w:rFonts w:ascii="宋体" w:hAnsi="宋体" w:eastAsia="宋体" w:cs="宋体"/>
          <w:b/>
          <w:color w:val="000000"/>
          <w:kern w:val="2"/>
          <w:highlight w:val="white"/>
          <w:lang w:eastAsia="zh-CN"/>
        </w:rPr>
        <w:t>4.</w:t>
      </w:r>
      <w:r>
        <w:rPr>
          <w:rFonts w:hint="eastAsia" w:ascii="宋体" w:hAnsi="宋体" w:eastAsia="宋体" w:cs="宋体"/>
          <w:b/>
          <w:color w:val="000000"/>
          <w:kern w:val="2"/>
          <w:highlight w:val="white"/>
          <w:lang w:eastAsia="zh-CN"/>
        </w:rPr>
        <w:t>付款条件</w:t>
      </w:r>
    </w:p>
    <w:p w14:paraId="10EE653F">
      <w:pPr>
        <w:widowControl w:val="0"/>
        <w:numPr>
          <w:ilvl w:val="0"/>
          <w:numId w:val="0"/>
        </w:numPr>
        <w:tabs>
          <w:tab w:val="left" w:pos="840"/>
        </w:tabs>
        <w:adjustRightInd w:val="0"/>
        <w:snapToGrid w:val="0"/>
        <w:spacing w:after="0" w:line="360" w:lineRule="auto"/>
        <w:ind w:left="0" w:firstLine="420" w:firstLineChars="200"/>
        <w:jc w:val="both"/>
        <w:rPr>
          <w:rFonts w:ascii="宋体" w:hAnsi="宋体" w:eastAsia="宋体" w:cs="宋体"/>
          <w:lang w:eastAsia="zh-CN"/>
        </w:rPr>
      </w:pPr>
      <w:r>
        <w:rPr>
          <w:rFonts w:hint="eastAsia" w:ascii="宋体" w:hAnsi="宋体" w:eastAsia="宋体" w:cs="宋体"/>
          <w:color w:val="000000"/>
          <w:highlight w:val="white"/>
          <w:lang w:eastAsia="zh-CN"/>
        </w:rPr>
        <w:t>合同以人民币结算，付款方式如下：</w:t>
      </w:r>
    </w:p>
    <w:p w14:paraId="244BEACF">
      <w:pPr>
        <w:widowControl w:val="0"/>
        <w:tabs>
          <w:tab w:val="left" w:pos="700"/>
        </w:tabs>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eastAsia="宋体" w:cs="宋体"/>
          <w:color w:val="000000"/>
          <w:kern w:val="2"/>
          <w:sz w:val="21"/>
          <w:highlight w:val="white"/>
          <w:lang w:eastAsia="zh-CN"/>
        </w:rPr>
        <w:t>（</w:t>
      </w:r>
      <w:r>
        <w:rPr>
          <w:rFonts w:hint="eastAsia" w:ascii="宋体" w:hAnsi="宋体" w:eastAsia="宋体" w:cs="宋体"/>
          <w:color w:val="000000"/>
          <w:kern w:val="2"/>
          <w:highlight w:val="white"/>
          <w:lang w:eastAsia="zh-CN"/>
        </w:rPr>
        <w:t>1）乙方应在合同规定的服务期限内完成所有人员的体检服务，服务期限内所有人员收到体检报告，且对报告中的检查结果不存在异议，视为验收合格。</w:t>
      </w:r>
    </w:p>
    <w:p w14:paraId="47995FFB">
      <w:pPr>
        <w:widowControl w:val="0"/>
        <w:tabs>
          <w:tab w:val="left" w:pos="700"/>
        </w:tabs>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 xml:space="preserve">（2）乙方未按服务项目要求完成或者完成不彻底，须按要求重新安排体检，且甲方有权按照成交金额要求赔偿。    </w:t>
      </w:r>
    </w:p>
    <w:p w14:paraId="10A3F49B">
      <w:pPr>
        <w:widowControl w:val="0"/>
        <w:tabs>
          <w:tab w:val="left" w:pos="700"/>
        </w:tabs>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（3）合同签订后30个工作日内，乙方提出付款申请并出具等额合同发票，甲方一次性支付合同金额。</w:t>
      </w:r>
    </w:p>
    <w:p w14:paraId="6BB09CF9">
      <w:pPr>
        <w:widowControl w:val="0"/>
        <w:topLinePunct/>
        <w:autoSpaceDE w:val="0"/>
        <w:autoSpaceDN w:val="0"/>
        <w:snapToGrid w:val="0"/>
        <w:spacing w:after="160" w:line="360" w:lineRule="auto"/>
        <w:ind w:left="482"/>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5. 合同签订及生效</w:t>
      </w:r>
    </w:p>
    <w:p w14:paraId="0A6AA41A">
      <w:pPr>
        <w:widowControl w:val="0"/>
        <w:tabs>
          <w:tab w:val="left" w:pos="700"/>
        </w:tabs>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合同一式伍份，甲方叁份，乙方贰份，各份正本具有同等法律效力。本合同由甲、乙双方法定代表人或授权代表签字并加盖公章或合同专用章后生效。</w:t>
      </w:r>
    </w:p>
    <w:p w14:paraId="50F6DB30">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lang w:eastAsia="zh-CN"/>
        </w:rPr>
      </w:pPr>
    </w:p>
    <w:p w14:paraId="4A0DF728">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lang w:eastAsia="zh-CN"/>
        </w:rPr>
      </w:pPr>
    </w:p>
    <w:p w14:paraId="1D8D50D3">
      <w:pPr>
        <w:widowControl w:val="0"/>
        <w:tabs>
          <w:tab w:val="left" w:pos="700"/>
        </w:tabs>
        <w:topLinePunct/>
        <w:autoSpaceDE w:val="0"/>
        <w:autoSpaceDN w:val="0"/>
        <w:snapToGrid w:val="0"/>
        <w:spacing w:after="0" w:line="360" w:lineRule="auto"/>
        <w:jc w:val="both"/>
        <w:rPr>
          <w:rFonts w:ascii="宋体" w:hAnsi="宋体" w:eastAsia="宋体" w:cs="宋体"/>
          <w:kern w:val="2"/>
          <w:lang w:eastAsia="zh-CN"/>
        </w:rPr>
      </w:pPr>
    </w:p>
    <w:p w14:paraId="74196ED8">
      <w:pPr>
        <w:widowControl w:val="0"/>
        <w:tabs>
          <w:tab w:val="left" w:pos="700"/>
        </w:tabs>
        <w:topLinePunct/>
        <w:autoSpaceDE w:val="0"/>
        <w:autoSpaceDN w:val="0"/>
        <w:snapToGrid w:val="0"/>
        <w:spacing w:after="0" w:line="360" w:lineRule="auto"/>
        <w:jc w:val="both"/>
        <w:rPr>
          <w:rFonts w:ascii="宋体" w:hAnsi="宋体" w:eastAsia="宋体" w:cs="宋体"/>
          <w:kern w:val="2"/>
          <w:lang w:eastAsia="zh-CN"/>
        </w:rPr>
      </w:pPr>
    </w:p>
    <w:p w14:paraId="1F4125FB">
      <w:pPr>
        <w:widowControl w:val="0"/>
        <w:tabs>
          <w:tab w:val="left" w:pos="700"/>
        </w:tabs>
        <w:topLinePunct/>
        <w:autoSpaceDE w:val="0"/>
        <w:autoSpaceDN w:val="0"/>
        <w:snapToGrid w:val="0"/>
        <w:spacing w:after="160" w:line="360" w:lineRule="auto"/>
        <w:ind w:left="36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甲方：                                 乙方：</w:t>
      </w:r>
    </w:p>
    <w:p w14:paraId="7E01B230">
      <w:pPr>
        <w:widowControl w:val="0"/>
        <w:tabs>
          <w:tab w:val="left" w:pos="700"/>
        </w:tabs>
        <w:topLinePunct/>
        <w:autoSpaceDE w:val="0"/>
        <w:autoSpaceDN w:val="0"/>
        <w:snapToGrid w:val="0"/>
        <w:spacing w:after="160" w:line="360" w:lineRule="auto"/>
        <w:ind w:left="360"/>
        <w:jc w:val="both"/>
        <w:rPr>
          <w:rFonts w:ascii="宋体" w:hAnsi="宋体" w:eastAsia="宋体" w:cs="宋体"/>
          <w:kern w:val="2"/>
          <w:lang w:eastAsia="zh-CN"/>
        </w:rPr>
      </w:pPr>
      <w:r>
        <w:rPr>
          <w:rFonts w:hint="eastAsia" w:ascii="宋体" w:hAnsi="宋体" w:eastAsia="宋体" w:cs="宋体"/>
          <w:color w:val="000000"/>
          <w:kern w:val="2"/>
          <w:highlight w:val="white"/>
          <w:lang w:eastAsia="zh-CN"/>
        </w:rPr>
        <w:t xml:space="preserve">盖章：                                 盖章： </w:t>
      </w:r>
    </w:p>
    <w:p w14:paraId="205CDF56">
      <w:pPr>
        <w:widowControl w:val="0"/>
        <w:tabs>
          <w:tab w:val="left" w:pos="700"/>
        </w:tabs>
        <w:topLinePunct/>
        <w:autoSpaceDE w:val="0"/>
        <w:autoSpaceDN w:val="0"/>
        <w:snapToGrid w:val="0"/>
        <w:spacing w:after="160" w:line="360" w:lineRule="auto"/>
        <w:ind w:left="36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签署人：                               签署人：</w:t>
      </w:r>
    </w:p>
    <w:p w14:paraId="080E4F8D">
      <w:pPr>
        <w:widowControl w:val="0"/>
        <w:tabs>
          <w:tab w:val="left" w:pos="700"/>
        </w:tabs>
        <w:topLinePunct/>
        <w:autoSpaceDE w:val="0"/>
        <w:autoSpaceDN w:val="0"/>
        <w:snapToGrid w:val="0"/>
        <w:spacing w:after="160" w:line="360" w:lineRule="auto"/>
        <w:ind w:left="36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日期：    年    月    日               日期：     年   月   日</w:t>
      </w:r>
    </w:p>
    <w:p w14:paraId="7870ED94">
      <w:pPr>
        <w:widowControl w:val="0"/>
        <w:topLinePunct/>
        <w:autoSpaceDE w:val="0"/>
        <w:autoSpaceDN w:val="0"/>
        <w:snapToGrid w:val="0"/>
        <w:spacing w:after="0" w:line="360" w:lineRule="auto"/>
        <w:jc w:val="center"/>
        <w:rPr>
          <w:rFonts w:ascii="宋体" w:hAnsi="宋体" w:eastAsia="宋体" w:cs="宋体"/>
          <w:b/>
          <w:kern w:val="2"/>
          <w:lang w:eastAsia="zh-CN"/>
        </w:rPr>
      </w:pPr>
    </w:p>
    <w:p w14:paraId="24C823DC">
      <w:pPr>
        <w:widowControl w:val="0"/>
        <w:topLinePunct/>
        <w:autoSpaceDE w:val="0"/>
        <w:autoSpaceDN w:val="0"/>
        <w:snapToGrid w:val="0"/>
        <w:spacing w:after="0" w:line="360" w:lineRule="auto"/>
        <w:jc w:val="center"/>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br w:type="page"/>
      </w:r>
      <w:r>
        <w:rPr>
          <w:rFonts w:hint="eastAsia" w:ascii="宋体" w:hAnsi="宋体" w:eastAsia="宋体" w:cs="宋体"/>
          <w:b/>
          <w:color w:val="000000"/>
          <w:kern w:val="2"/>
          <w:highlight w:val="white"/>
          <w:lang w:eastAsia="zh-CN"/>
        </w:rPr>
        <w:t>二   合 同 通 用 条 款</w:t>
      </w:r>
    </w:p>
    <w:p w14:paraId="33F26B62">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 定义</w:t>
      </w:r>
    </w:p>
    <w:p w14:paraId="760D8B53">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本合同下列术语应解释为：</w:t>
      </w:r>
    </w:p>
    <w:p w14:paraId="3E440069">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1.1“甲方”是指</w:t>
      </w:r>
      <w:r>
        <w:rPr>
          <w:rFonts w:hint="eastAsia" w:ascii="宋体" w:hAnsi="宋体" w:eastAsia="宋体" w:cs="宋体"/>
          <w:color w:val="000000"/>
          <w:kern w:val="2"/>
          <w:highlight w:val="white"/>
          <w:u w:val="single"/>
          <w:lang w:eastAsia="zh-CN"/>
        </w:rPr>
        <w:t>国家税务总局长春市南关区税务局</w:t>
      </w:r>
      <w:r>
        <w:rPr>
          <w:rFonts w:hint="eastAsia" w:ascii="宋体" w:hAnsi="宋体" w:eastAsia="宋体" w:cs="宋体"/>
          <w:color w:val="000000"/>
          <w:kern w:val="2"/>
          <w:highlight w:val="white"/>
          <w:lang w:eastAsia="zh-CN"/>
        </w:rPr>
        <w:t>。</w:t>
      </w:r>
    </w:p>
    <w:p w14:paraId="7065079B">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1.1.1“甲方采购部门”见“合同条款前附表”第6项“甲方采购部门”。</w:t>
      </w:r>
    </w:p>
    <w:p w14:paraId="6FE5621E">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1.1.2“甲方需求部门”见“合同条款前附表”第6项“甲方需求部门”。</w:t>
      </w:r>
    </w:p>
    <w:p w14:paraId="0ABCE402">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1.2“乙方”见“合同条款前附表”第7项“乙方名称”。</w:t>
      </w:r>
    </w:p>
    <w:p w14:paraId="76085CDE">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 “合同”系指甲乙双方签订的、合同格式中载明的甲乙双方所达成的协议，包括所有的附件、附录和上述文件所提到的构成合同的所有文件。</w:t>
      </w:r>
    </w:p>
    <w:p w14:paraId="08E51C54">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1.4 “天”除非特别指出，“天”均为自然天。</w:t>
      </w:r>
    </w:p>
    <w:p w14:paraId="4E8EF103">
      <w:pPr>
        <w:widowControl w:val="0"/>
        <w:topLinePunct/>
        <w:autoSpaceDE w:val="0"/>
        <w:autoSpaceDN w:val="0"/>
        <w:snapToGrid w:val="0"/>
        <w:spacing w:after="0" w:line="360" w:lineRule="auto"/>
        <w:ind w:left="480"/>
        <w:jc w:val="both"/>
        <w:rPr>
          <w:rFonts w:hint="eastAsia" w:ascii="宋体" w:hAnsi="宋体" w:eastAsia="宋体" w:cs="宋体"/>
          <w:kern w:val="2"/>
          <w:lang w:eastAsia="zh-CN"/>
        </w:rPr>
      </w:pPr>
    </w:p>
    <w:p w14:paraId="5142F4A9">
      <w:pPr>
        <w:widowControl w:val="0"/>
        <w:topLinePunct/>
        <w:autoSpaceDE w:val="0"/>
        <w:autoSpaceDN w:val="0"/>
        <w:snapToGrid w:val="0"/>
        <w:spacing w:after="0" w:line="360" w:lineRule="auto"/>
        <w:ind w:firstLine="422" w:firstLineChars="200"/>
        <w:jc w:val="both"/>
        <w:rPr>
          <w:rFonts w:hint="eastAsia" w:ascii="宋体" w:hAnsi="宋体" w:eastAsia="宋体" w:cs="宋体"/>
          <w:b/>
          <w:bCs/>
          <w:kern w:val="2"/>
          <w:lang w:eastAsia="zh-CN"/>
        </w:rPr>
      </w:pPr>
      <w:r>
        <w:rPr>
          <w:rFonts w:hint="eastAsia" w:ascii="宋体" w:hAnsi="宋体" w:eastAsia="宋体" w:cs="宋体"/>
          <w:b/>
          <w:bCs/>
          <w:color w:val="000000"/>
          <w:kern w:val="2"/>
          <w:highlight w:val="white"/>
          <w:lang w:eastAsia="zh-CN"/>
        </w:rPr>
        <w:t>2. 标准</w:t>
      </w:r>
    </w:p>
    <w:p w14:paraId="65326145">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2.1 乙方为甲方交付或提供的服务应符合招标（采购）文件所述的标准，如果没有提及适用标准，则应符合相应的国家标准。这些标准必须是有关机构发布的最新版本的标准。</w:t>
      </w:r>
    </w:p>
    <w:p w14:paraId="1EEBFA27">
      <w:pPr>
        <w:widowControl w:val="0"/>
        <w:snapToGrid w:val="0"/>
        <w:spacing w:after="0" w:line="360" w:lineRule="auto"/>
        <w:ind w:firstLine="420" w:firstLineChars="200"/>
        <w:jc w:val="both"/>
        <w:rPr>
          <w:rFonts w:hint="eastAsia" w:ascii="宋体" w:hAnsi="宋体" w:eastAsia="宋体" w:cs="宋体"/>
          <w:kern w:val="2"/>
          <w:sz w:val="21"/>
          <w:lang w:eastAsia="zh-CN"/>
        </w:rPr>
      </w:pPr>
      <w:r>
        <w:rPr>
          <w:rFonts w:hint="eastAsia" w:ascii="宋体" w:hAnsi="宋体" w:eastAsia="宋体" w:cs="宋体"/>
          <w:color w:val="000000"/>
          <w:kern w:val="2"/>
          <w:highlight w:val="white"/>
          <w:lang w:eastAsia="zh-CN"/>
        </w:rPr>
        <w:t>2.2 除非技术要求中另有规定，计量单位均采用中华人民共和国法定计量单位。</w:t>
      </w:r>
    </w:p>
    <w:p w14:paraId="239427A3">
      <w:pPr>
        <w:widowControl w:val="0"/>
        <w:snapToGrid w:val="0"/>
        <w:spacing w:after="0" w:line="360" w:lineRule="auto"/>
        <w:ind w:firstLine="420" w:firstLineChars="200"/>
        <w:jc w:val="both"/>
        <w:rPr>
          <w:rFonts w:hint="eastAsia" w:ascii="宋体" w:hAnsi="宋体" w:eastAsia="宋体" w:cs="宋体"/>
          <w:kern w:val="2"/>
          <w:lang w:eastAsia="zh-CN"/>
        </w:rPr>
      </w:pPr>
    </w:p>
    <w:p w14:paraId="16FD7356">
      <w:pPr>
        <w:widowControl w:val="0"/>
        <w:snapToGrid w:val="0"/>
        <w:spacing w:after="0" w:line="360" w:lineRule="auto"/>
        <w:ind w:firstLine="422" w:firstLineChars="200"/>
        <w:jc w:val="both"/>
        <w:rPr>
          <w:rFonts w:hint="eastAsia" w:ascii="宋体" w:hAnsi="宋体" w:eastAsia="宋体" w:cs="宋体"/>
          <w:b/>
          <w:bCs/>
          <w:kern w:val="2"/>
          <w:lang w:eastAsia="zh-CN"/>
        </w:rPr>
      </w:pPr>
      <w:r>
        <w:rPr>
          <w:rFonts w:hint="eastAsia" w:ascii="宋体" w:hAnsi="宋体" w:eastAsia="宋体" w:cs="宋体"/>
          <w:b/>
          <w:bCs/>
          <w:color w:val="000000"/>
          <w:kern w:val="2"/>
          <w:highlight w:val="white"/>
          <w:lang w:eastAsia="zh-CN"/>
        </w:rPr>
        <w:t>3. 服务</w:t>
      </w:r>
    </w:p>
    <w:p w14:paraId="7A70D795">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3.1 本项目的“服务”见“合同条款前附表”第9项“服务内容”。</w:t>
      </w:r>
    </w:p>
    <w:p w14:paraId="3E0AAA2C">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3.2 乙方应保证所提供的服务符合合同规定的技术要求。如不符时，乙方应负全责并在限期内尽快处理解决，由此造成的损失和相关费用由乙方承担，甲方保留解除合同及索赔的权利。</w:t>
      </w:r>
    </w:p>
    <w:p w14:paraId="4A7AC1DC">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3.3 乙方应保证通过执行合同中全部方案后，可以取得本合同约定的结果，达到本合同约定的预期目标。对任何情况下出现的问题，应在限期内尽快提出解决方案。</w:t>
      </w:r>
    </w:p>
    <w:p w14:paraId="321F3E71">
      <w:pPr>
        <w:widowControl w:val="0"/>
        <w:tabs>
          <w:tab w:val="left" w:pos="0"/>
          <w:tab w:val="left" w:pos="54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3.4 如果乙方提供的服务和解决方案不符合甲方要求，或在规定的时间内没有弥补缺陷，甲方有权采取一切必要的补救措施，由此产生的费用和甲方的损失全部由乙方负责。</w:t>
      </w:r>
    </w:p>
    <w:p w14:paraId="4969F6F8">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3.5 除合同条款另行规定外，伴随服务的费用已全部含在合同总金额中，不单独进行支付。</w:t>
      </w:r>
    </w:p>
    <w:p w14:paraId="312A8E5C">
      <w:pPr>
        <w:widowControl w:val="0"/>
        <w:snapToGrid w:val="0"/>
        <w:spacing w:after="0" w:line="360" w:lineRule="auto"/>
        <w:jc w:val="both"/>
        <w:rPr>
          <w:rFonts w:hint="eastAsia" w:ascii="宋体" w:hAnsi="宋体" w:eastAsia="宋体" w:cs="宋体"/>
          <w:kern w:val="2"/>
          <w:lang w:eastAsia="zh-CN"/>
        </w:rPr>
      </w:pPr>
    </w:p>
    <w:p w14:paraId="5B5BFC9E">
      <w:pPr>
        <w:widowControl w:val="0"/>
        <w:tabs>
          <w:tab w:val="left" w:pos="0"/>
          <w:tab w:val="left" w:pos="540"/>
        </w:tabs>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4. 知识产权</w:t>
      </w:r>
    </w:p>
    <w:p w14:paraId="7263CDC4">
      <w:pPr>
        <w:widowControl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color w:val="000000"/>
          <w:kern w:val="2"/>
          <w:highlight w:val="white"/>
          <w:lang w:eastAsia="zh-CN"/>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14:paraId="272C840C">
      <w:pPr>
        <w:widowControl w:val="0"/>
        <w:tabs>
          <w:tab w:val="left" w:pos="0"/>
          <w:tab w:val="left" w:pos="540"/>
        </w:tabs>
        <w:topLinePunct/>
        <w:autoSpaceDE w:val="0"/>
        <w:autoSpaceDN w:val="0"/>
        <w:snapToGrid w:val="0"/>
        <w:spacing w:after="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14:paraId="497B1805">
      <w:pPr>
        <w:widowControl w:val="0"/>
        <w:tabs>
          <w:tab w:val="left" w:pos="0"/>
          <w:tab w:val="left" w:pos="540"/>
        </w:tabs>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p>
    <w:p w14:paraId="5CE6CD82">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5. 保密条款</w:t>
      </w:r>
    </w:p>
    <w:p w14:paraId="50BED3CE">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5.1 甲乙双方应对在本合同签订或履行过程中所接触的对方信息，包括但不限于知识产权、技术资料、技术诀窍、内部管理及其他相关信息，负有保密义务。</w:t>
      </w:r>
    </w:p>
    <w:p w14:paraId="60CCACDC">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14:paraId="20C97E3E">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 应以审慎态度避免泄漏、公开或传播甲方的信息；</w:t>
      </w:r>
    </w:p>
    <w:p w14:paraId="21DA8CEC">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（2） 在开发过程中对数据的处理方式应事先得到甲方的许可；</w:t>
      </w:r>
    </w:p>
    <w:p w14:paraId="2F1DB518">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（3） 未经甲方书面许可，不得对有关信息进行修改、补充、复制；</w:t>
      </w:r>
    </w:p>
    <w:p w14:paraId="1CBA1629">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（4） 未经甲方书面许可，不得将信息以任何方式（如E-mail）携带出甲方场所；</w:t>
      </w:r>
    </w:p>
    <w:p w14:paraId="3AF7EF53">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 xml:space="preserve">（5） 未经甲方书面许可，不得将信息透露给任何其他人； </w:t>
      </w:r>
    </w:p>
    <w:p w14:paraId="3F9111E2">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（6） 严禁在提交的软件产品中设置远程维护接口和后门程序；</w:t>
      </w:r>
    </w:p>
    <w:p w14:paraId="096B7E05">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（7） 不得进行系统软硬件设备的远程维护；</w:t>
      </w:r>
    </w:p>
    <w:p w14:paraId="2898AE03">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 甲方以书面形式提出的其他保密措施。</w:t>
      </w:r>
    </w:p>
    <w:p w14:paraId="4D9D90FA">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5.3 保密期限不受合同有效期的限制，在合同有效期结束后，信息接受方仍应承担保密义务，直至该等信息成为公开信息。</w:t>
      </w:r>
    </w:p>
    <w:p w14:paraId="4F863D72">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5.4 甲乙双方如出现泄密行为，泄密方应承担相关的法律责任，包括但不限于对由此给对方造成的经济损失进行赔偿。</w:t>
      </w:r>
    </w:p>
    <w:p w14:paraId="113D37FE">
      <w:pPr>
        <w:widowControl w:val="0"/>
        <w:snapToGrid w:val="0"/>
        <w:spacing w:after="0" w:line="360" w:lineRule="auto"/>
        <w:ind w:firstLine="420" w:firstLineChars="200"/>
        <w:jc w:val="both"/>
        <w:rPr>
          <w:rFonts w:hint="eastAsia" w:ascii="宋体" w:hAnsi="宋体" w:eastAsia="宋体" w:cs="宋体"/>
          <w:kern w:val="2"/>
          <w:lang w:eastAsia="zh-CN"/>
        </w:rPr>
      </w:pPr>
    </w:p>
    <w:p w14:paraId="2419F6CF">
      <w:pPr>
        <w:widowControl w:val="0"/>
        <w:numPr>
          <w:ilvl w:val="0"/>
          <w:numId w:val="6"/>
        </w:numPr>
        <w:topLinePunct/>
        <w:autoSpaceDE w:val="0"/>
        <w:autoSpaceDN w:val="0"/>
        <w:adjustRightInd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项目管理</w:t>
      </w:r>
    </w:p>
    <w:p w14:paraId="02A6B0B4">
      <w:pPr>
        <w:widowControl w:val="0"/>
        <w:numPr>
          <w:ilvl w:val="0"/>
          <w:numId w:val="0"/>
        </w:numPr>
        <w:adjustRightInd w:val="0"/>
        <w:snapToGrid w:val="0"/>
        <w:spacing w:after="0" w:line="360" w:lineRule="auto"/>
        <w:ind w:left="0" w:firstLine="0" w:firstLineChars="0"/>
        <w:jc w:val="both"/>
        <w:rPr>
          <w:rFonts w:ascii="宋体" w:hAnsi="宋体" w:eastAsia="宋体" w:cs="宋体"/>
          <w:kern w:val="2"/>
          <w:lang w:eastAsia="zh-CN"/>
        </w:rPr>
      </w:pPr>
      <w:r>
        <w:rPr>
          <w:rFonts w:hint="eastAsia" w:ascii="宋体" w:hAnsi="宋体" w:eastAsia="宋体" w:cs="宋体"/>
          <w:color w:val="000000"/>
          <w:kern w:val="2"/>
          <w:highlight w:val="white"/>
          <w:lang w:eastAsia="zh-CN"/>
        </w:rPr>
        <w:t xml:space="preserve">    6.1 乙方应按照甲方项目整编归档内容、整理标准质量、移交时间等档案管理要求，对项目相关文件进行收集、整理、归档并移交。</w:t>
      </w:r>
    </w:p>
    <w:p w14:paraId="2D063346">
      <w:pPr>
        <w:widowControl w:val="0"/>
        <w:snapToGrid w:val="0"/>
        <w:spacing w:after="0" w:line="360" w:lineRule="auto"/>
        <w:ind w:firstLine="420" w:firstLineChars="200"/>
        <w:jc w:val="both"/>
        <w:rPr>
          <w:rFonts w:hint="eastAsia" w:ascii="宋体" w:hAnsi="宋体" w:eastAsia="宋体" w:cs="宋体"/>
          <w:kern w:val="2"/>
          <w:lang w:eastAsia="zh-CN"/>
        </w:rPr>
      </w:pPr>
    </w:p>
    <w:p w14:paraId="65752F90">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r>
        <w:rPr>
          <w:rFonts w:ascii="宋体" w:hAnsi="宋体" w:eastAsia="宋体" w:cs="宋体"/>
          <w:b/>
          <w:color w:val="000000"/>
          <w:kern w:val="2"/>
          <w:highlight w:val="white"/>
          <w:lang w:val="en" w:eastAsia="zh-CN"/>
        </w:rPr>
        <w:t>7</w:t>
      </w:r>
      <w:r>
        <w:rPr>
          <w:rFonts w:hint="eastAsia" w:ascii="宋体" w:hAnsi="宋体" w:eastAsia="宋体" w:cs="宋体"/>
          <w:b/>
          <w:color w:val="000000"/>
          <w:kern w:val="2"/>
          <w:highlight w:val="white"/>
          <w:lang w:eastAsia="zh-CN"/>
        </w:rPr>
        <w:t>. 履约验收</w:t>
      </w:r>
    </w:p>
    <w:p w14:paraId="17A447FE">
      <w:pPr>
        <w:widowControl w:val="0"/>
        <w:snapToGrid w:val="0"/>
        <w:spacing w:after="0" w:line="360" w:lineRule="auto"/>
        <w:ind w:firstLine="420" w:firstLineChars="200"/>
        <w:jc w:val="both"/>
        <w:rPr>
          <w:rFonts w:hint="eastAsia" w:ascii="宋体" w:hAnsi="宋体" w:eastAsia="宋体" w:cs="宋体"/>
          <w:kern w:val="2"/>
          <w:lang w:eastAsia="zh-CN"/>
        </w:rPr>
      </w:pPr>
      <w:r>
        <w:rPr>
          <w:rFonts w:ascii="宋体" w:hAnsi="宋体" w:eastAsia="宋体" w:cs="宋体"/>
          <w:color w:val="000000"/>
          <w:kern w:val="2"/>
          <w:highlight w:val="white"/>
          <w:lang w:val="en" w:eastAsia="zh-CN"/>
        </w:rPr>
        <w:t>7</w:t>
      </w:r>
      <w:r>
        <w:rPr>
          <w:rFonts w:hint="eastAsia" w:ascii="宋体" w:hAnsi="宋体" w:eastAsia="宋体" w:cs="宋体"/>
          <w:color w:val="000000"/>
          <w:kern w:val="2"/>
          <w:highlight w:val="white"/>
          <w:lang w:eastAsia="zh-CN"/>
        </w:rPr>
        <w:t>.1 甲方需求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14:paraId="34D8E878">
      <w:pPr>
        <w:widowControl w:val="0"/>
        <w:snapToGrid w:val="0"/>
        <w:spacing w:after="0" w:line="360" w:lineRule="auto"/>
        <w:ind w:firstLine="420" w:firstLineChars="200"/>
        <w:jc w:val="both"/>
        <w:rPr>
          <w:rFonts w:hint="eastAsia" w:ascii="宋体" w:hAnsi="宋体" w:eastAsia="宋体" w:cs="宋体"/>
          <w:kern w:val="2"/>
          <w:lang w:eastAsia="zh-CN"/>
        </w:rPr>
      </w:pPr>
      <w:r>
        <w:rPr>
          <w:rFonts w:ascii="宋体" w:hAnsi="宋体" w:eastAsia="宋体" w:cs="宋体"/>
          <w:color w:val="000000"/>
          <w:kern w:val="2"/>
          <w:highlight w:val="white"/>
          <w:lang w:val="en" w:eastAsia="zh-CN"/>
        </w:rPr>
        <w:t>7</w:t>
      </w:r>
      <w:r>
        <w:rPr>
          <w:rFonts w:hint="eastAsia" w:ascii="宋体" w:hAnsi="宋体" w:eastAsia="宋体" w:cs="宋体"/>
          <w:color w:val="000000"/>
          <w:kern w:val="2"/>
          <w:highlight w:val="white"/>
          <w:lang w:eastAsia="zh-CN"/>
        </w:rPr>
        <w:t>.2 具体履约验收要求及验收方案详见招标（采购）文件。</w:t>
      </w:r>
    </w:p>
    <w:p w14:paraId="04388C0E">
      <w:pPr>
        <w:widowControl w:val="0"/>
        <w:spacing w:before="0" w:after="120" w:line="259" w:lineRule="auto"/>
        <w:ind w:left="0" w:right="0"/>
        <w:jc w:val="both"/>
        <w:rPr>
          <w:rFonts w:hint="eastAsia" w:eastAsia="宋体"/>
          <w:kern w:val="2"/>
          <w:sz w:val="21"/>
          <w:lang w:eastAsia="zh-CN"/>
        </w:rPr>
      </w:pPr>
    </w:p>
    <w:p w14:paraId="7339D17D">
      <w:pPr>
        <w:widowControl w:val="0"/>
        <w:tabs>
          <w:tab w:val="left" w:pos="0"/>
          <w:tab w:val="left" w:pos="540"/>
        </w:tabs>
        <w:adjustRightInd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8. 履约保证金</w:t>
      </w:r>
    </w:p>
    <w:p w14:paraId="059D7CFE">
      <w:pPr>
        <w:widowControl w:val="0"/>
        <w:tabs>
          <w:tab w:val="left" w:pos="70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8.1 需提交履约保证金的项目，乙方应按照“合同条款前附表”第11项“履约保证金及返还”提交履约保证金。</w:t>
      </w:r>
    </w:p>
    <w:p w14:paraId="6F56C5D8">
      <w:pPr>
        <w:widowControl w:val="0"/>
        <w:tabs>
          <w:tab w:val="left" w:pos="70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8.2 履约保证金的金额可用于补偿甲方因乙方不能完成其合同义务而蒙受的损失。</w:t>
      </w:r>
    </w:p>
    <w:p w14:paraId="1063EFC5">
      <w:pPr>
        <w:widowControl w:val="0"/>
        <w:tabs>
          <w:tab w:val="left" w:pos="70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14:paraId="1C821016">
      <w:pPr>
        <w:widowControl w:val="0"/>
        <w:tabs>
          <w:tab w:val="left" w:pos="70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8.4 乙方不履行合同、或者履行合同义务不符合约定使得合同目的不能实现，履约保证金不予退还，并应按合同约定支付违约金、赔偿金等。</w:t>
      </w:r>
    </w:p>
    <w:p w14:paraId="3F6397BF">
      <w:pPr>
        <w:widowControl w:val="0"/>
        <w:tabs>
          <w:tab w:val="left" w:pos="70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8.5 履约保证金在合同履行期满后，扣除相应款项（如有）且双方无争议后，凭返还申请等资料一次性无息返还，详见“合同条款前附表”第11项“履约保证金及返还”。</w:t>
      </w:r>
    </w:p>
    <w:p w14:paraId="69EC8939">
      <w:pPr>
        <w:widowControl w:val="0"/>
        <w:topLinePunct/>
        <w:autoSpaceDE w:val="0"/>
        <w:autoSpaceDN w:val="0"/>
        <w:snapToGrid w:val="0"/>
        <w:spacing w:after="0" w:line="360" w:lineRule="auto"/>
        <w:jc w:val="both"/>
        <w:rPr>
          <w:rFonts w:hint="eastAsia" w:ascii="宋体" w:hAnsi="宋体" w:eastAsia="宋体" w:cs="宋体"/>
          <w:b/>
          <w:kern w:val="2"/>
          <w:lang w:eastAsia="zh-CN"/>
        </w:rPr>
      </w:pPr>
    </w:p>
    <w:p w14:paraId="0247D825">
      <w:pPr>
        <w:widowControl w:val="0"/>
        <w:tabs>
          <w:tab w:val="left" w:pos="0"/>
          <w:tab w:val="left" w:pos="540"/>
        </w:tabs>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9．履约延误</w:t>
      </w:r>
    </w:p>
    <w:p w14:paraId="2417F63D">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9.1 乙方应按照本合同的规定提供服务。</w:t>
      </w:r>
    </w:p>
    <w:p w14:paraId="42BC0ACB">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14:paraId="52628E12">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14:paraId="13B783D7">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9.4 除不可抗力和根据合同规定延期取得甲方同意而不收取误期违约金之外，乙方延误工期，将按合同规定被收取误期违约金。</w:t>
      </w:r>
    </w:p>
    <w:p w14:paraId="7092D286">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14:paraId="5C9B6810">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p>
    <w:p w14:paraId="3422EDA7">
      <w:pPr>
        <w:widowControl w:val="0"/>
        <w:numPr>
          <w:ilvl w:val="0"/>
          <w:numId w:val="0"/>
        </w:numPr>
        <w:topLinePunct/>
        <w:autoSpaceDE w:val="0"/>
        <w:autoSpaceDN w:val="0"/>
        <w:snapToGrid w:val="0"/>
        <w:spacing w:after="0" w:line="360" w:lineRule="auto"/>
        <w:ind w:left="0"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10 违约责任</w:t>
      </w:r>
    </w:p>
    <w:p w14:paraId="57D0DB62">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color w:val="000000"/>
          <w:kern w:val="2"/>
          <w:highlight w:val="white"/>
          <w:lang w:eastAsia="zh-CN"/>
        </w:rPr>
        <w:t>10</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 xml:space="preserve"> 除本合同另有约定外，乙方</w:t>
      </w:r>
      <w:r>
        <w:rPr>
          <w:rFonts w:ascii="宋体" w:hAnsi="宋体" w:eastAsia="宋体"/>
          <w:color w:val="000000"/>
          <w:kern w:val="2"/>
          <w:highlight w:val="white"/>
          <w:lang w:eastAsia="zh-CN"/>
        </w:rPr>
        <w:t>不履行合同义务或者履行合同义务不符合</w:t>
      </w:r>
      <w:r>
        <w:rPr>
          <w:rFonts w:hint="eastAsia" w:ascii="宋体" w:hAnsi="宋体" w:eastAsia="宋体"/>
          <w:color w:val="000000"/>
          <w:kern w:val="2"/>
          <w:highlight w:val="white"/>
          <w:lang w:eastAsia="zh-CN"/>
        </w:rPr>
        <w:t>合同</w:t>
      </w:r>
      <w:r>
        <w:rPr>
          <w:rFonts w:ascii="宋体" w:hAnsi="宋体" w:eastAsia="宋体"/>
          <w:color w:val="000000"/>
          <w:kern w:val="2"/>
          <w:highlight w:val="white"/>
          <w:lang w:eastAsia="zh-CN"/>
        </w:rPr>
        <w:t>约定的，</w:t>
      </w:r>
      <w:r>
        <w:rPr>
          <w:rFonts w:hint="eastAsia" w:ascii="宋体" w:hAnsi="宋体" w:eastAsia="宋体" w:cs="宋体"/>
          <w:color w:val="000000"/>
          <w:kern w:val="2"/>
          <w:highlight w:val="white"/>
          <w:lang w:eastAsia="zh-CN"/>
        </w:rPr>
        <w:t>按每违反一次从应付款项中扣除合同总金额的百分之一（1%）作为违约金；此外，</w:t>
      </w:r>
      <w:r>
        <w:rPr>
          <w:rFonts w:ascii="宋体" w:hAnsi="宋体" w:eastAsia="宋体"/>
          <w:color w:val="000000"/>
          <w:kern w:val="2"/>
          <w:highlight w:val="white"/>
          <w:lang w:eastAsia="zh-CN"/>
        </w:rPr>
        <w:t>应当承担继续履行、采取补救措施</w:t>
      </w:r>
      <w:r>
        <w:rPr>
          <w:rFonts w:hint="eastAsia" w:ascii="宋体" w:hAnsi="宋体" w:eastAsia="宋体"/>
          <w:color w:val="000000"/>
          <w:kern w:val="2"/>
          <w:highlight w:val="white"/>
          <w:lang w:eastAsia="zh-CN"/>
        </w:rPr>
        <w:t>或者</w:t>
      </w:r>
      <w:r>
        <w:rPr>
          <w:rFonts w:ascii="宋体" w:hAnsi="宋体" w:eastAsia="宋体"/>
          <w:color w:val="000000"/>
          <w:kern w:val="2"/>
          <w:highlight w:val="white"/>
          <w:lang w:eastAsia="zh-CN"/>
        </w:rPr>
        <w:t>赔偿损失等违约责任。</w:t>
      </w:r>
    </w:p>
    <w:p w14:paraId="6B5DA22E">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color w:val="000000"/>
          <w:kern w:val="2"/>
          <w:highlight w:val="white"/>
          <w:lang w:eastAsia="zh-CN"/>
        </w:rPr>
        <w:t>乙方支付的上述违约金、赔偿金等不足以弥补甲方损失的，应继续承担赔偿责任。本合同约定的损失，包括但不限于：直接损失、调查取证费、诉讼费、律师费等。</w:t>
      </w:r>
    </w:p>
    <w:p w14:paraId="16290D12">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color w:val="000000"/>
          <w:kern w:val="2"/>
          <w:highlight w:val="white"/>
          <w:lang w:eastAsia="zh-CN"/>
        </w:rPr>
        <w:t>10</w:t>
      </w:r>
      <w:r>
        <w:rPr>
          <w:rFonts w:ascii="宋体" w:hAnsi="宋体" w:eastAsia="宋体"/>
          <w:color w:val="000000"/>
          <w:kern w:val="2"/>
          <w:highlight w:val="white"/>
          <w:lang w:eastAsia="zh-CN"/>
        </w:rPr>
        <w:t>.2</w:t>
      </w:r>
      <w:r>
        <w:rPr>
          <w:rFonts w:hint="eastAsia" w:ascii="宋体" w:hAnsi="宋体" w:eastAsia="宋体"/>
          <w:color w:val="000000"/>
          <w:kern w:val="2"/>
          <w:highlight w:val="white"/>
          <w:lang w:eastAsia="zh-CN"/>
        </w:rPr>
        <w:t xml:space="preserve"> 乙方没有按照时限要求提供服务，且在甲方指定的延长期限内没有</w:t>
      </w:r>
      <w:r>
        <w:rPr>
          <w:rFonts w:ascii="宋体" w:hAnsi="宋体" w:eastAsia="宋体"/>
          <w:color w:val="000000"/>
          <w:kern w:val="2"/>
          <w:highlight w:val="white"/>
          <w:lang w:eastAsia="zh-CN"/>
        </w:rPr>
        <w:t>采取补救措施</w:t>
      </w:r>
      <w:r>
        <w:rPr>
          <w:rFonts w:hint="eastAsia" w:ascii="宋体" w:hAnsi="宋体" w:eastAsia="宋体"/>
          <w:color w:val="000000"/>
          <w:kern w:val="2"/>
          <w:highlight w:val="white"/>
          <w:lang w:eastAsia="zh-CN"/>
        </w:rPr>
        <w:t>，甲方有权自行采取其他方式进行补救，乙方除按合同第9条约定向甲方支付误期违约金外，另外甲方所发生的一切费用和甲方损失，甲方有权从应付的乙方的合同款项中扣除，不足扣除的乙方应另行支付。</w:t>
      </w:r>
    </w:p>
    <w:p w14:paraId="11F6081B">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color w:val="000000"/>
          <w:kern w:val="2"/>
          <w:highlight w:val="white"/>
          <w:lang w:eastAsia="zh-CN"/>
        </w:rPr>
        <w:t>10</w:t>
      </w:r>
      <w:r>
        <w:rPr>
          <w:rFonts w:ascii="宋体" w:hAnsi="宋体" w:eastAsia="宋体"/>
          <w:color w:val="000000"/>
          <w:kern w:val="2"/>
          <w:highlight w:val="white"/>
          <w:lang w:eastAsia="zh-CN"/>
        </w:rPr>
        <w:t>.</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 xml:space="preserve"> </w:t>
      </w:r>
      <w:r>
        <w:rPr>
          <w:rFonts w:hint="eastAsia" w:ascii="宋体" w:hAnsi="宋体" w:eastAsia="宋体"/>
          <w:color w:val="000000"/>
          <w:kern w:val="2"/>
          <w:highlight w:val="white"/>
          <w:lang w:eastAsia="zh-CN"/>
        </w:rPr>
        <w:t>除应支付甲方违约金等外，甲方有权根据合同或有关部门出具的检验证书等向乙方提出索赔。</w:t>
      </w:r>
    </w:p>
    <w:p w14:paraId="635CE8A6">
      <w:pPr>
        <w:widowControl w:val="0"/>
        <w:topLinePunct/>
        <w:autoSpaceDE w:val="0"/>
        <w:autoSpaceDN w:val="0"/>
        <w:adjustRightInd w:val="0"/>
        <w:snapToGrid w:val="0"/>
        <w:spacing w:after="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10.4</w:t>
      </w:r>
      <w:r>
        <w:rPr>
          <w:rFonts w:ascii="宋体" w:hAnsi="宋体" w:eastAsia="宋体"/>
          <w:color w:val="000000"/>
          <w:kern w:val="2"/>
          <w:highlight w:val="white"/>
          <w:lang w:eastAsia="zh-CN"/>
        </w:rPr>
        <w:t xml:space="preserve"> </w:t>
      </w:r>
      <w:r>
        <w:rPr>
          <w:rFonts w:hint="eastAsia" w:ascii="宋体" w:hAnsi="宋体" w:eastAsia="宋体"/>
          <w:color w:val="000000"/>
          <w:kern w:val="2"/>
          <w:highlight w:val="white"/>
          <w:lang w:eastAsia="zh-CN"/>
        </w:rPr>
        <w:t>当甲方因乙方的实际履行与合同约定之间存在差异而提出索赔时，乙方同意按照下列方式解决索赔事宜：</w:t>
      </w:r>
    </w:p>
    <w:p w14:paraId="2F012F39">
      <w:pPr>
        <w:widowControl w:val="0"/>
        <w:topLinePunct/>
        <w:autoSpaceDE w:val="0"/>
        <w:autoSpaceDN w:val="0"/>
        <w:adjustRightInd w:val="0"/>
        <w:snapToGrid w:val="0"/>
        <w:spacing w:after="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如果在甲方发出索赔通知后</w:t>
      </w:r>
      <w:r>
        <w:rPr>
          <w:rFonts w:ascii="宋体" w:hAnsi="宋体" w:eastAsia="宋体"/>
          <w:color w:val="000000"/>
          <w:kern w:val="2"/>
          <w:highlight w:val="white"/>
          <w:lang w:eastAsia="zh-CN"/>
        </w:rPr>
        <w:t>5</w:t>
      </w:r>
      <w:r>
        <w:rPr>
          <w:rFonts w:hint="eastAsia" w:ascii="宋体" w:hAnsi="宋体" w:eastAsia="宋体"/>
          <w:color w:val="000000"/>
          <w:kern w:val="2"/>
          <w:highlight w:val="white"/>
          <w:lang w:eastAsia="zh-CN"/>
        </w:rPr>
        <w:t>个工作日内，乙方未作书面答复，上述索赔应视为已被乙方接受。如乙方未能在甲方发出索赔通知后</w:t>
      </w:r>
      <w:r>
        <w:rPr>
          <w:rFonts w:ascii="宋体" w:hAnsi="宋体" w:eastAsia="宋体"/>
          <w:color w:val="000000"/>
          <w:kern w:val="2"/>
          <w:highlight w:val="white"/>
          <w:lang w:eastAsia="zh-CN"/>
        </w:rPr>
        <w:t>5</w:t>
      </w:r>
      <w:r>
        <w:rPr>
          <w:rFonts w:hint="eastAsia" w:ascii="宋体" w:hAnsi="宋体" w:eastAsia="宋体"/>
          <w:color w:val="000000"/>
          <w:kern w:val="2"/>
          <w:highlight w:val="white"/>
          <w:lang w:eastAsia="zh-CN"/>
        </w:rPr>
        <w:t>个工作日内或甲方同意的延长期限内着手解决索赔事宜，甲方有权从应付乙方的合同款项中扣除索赔金额。</w:t>
      </w:r>
    </w:p>
    <w:p w14:paraId="33353F17">
      <w:pPr>
        <w:widowControl w:val="0"/>
        <w:tabs>
          <w:tab w:val="left" w:pos="0"/>
          <w:tab w:val="left" w:pos="54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bCs/>
          <w:color w:val="000000"/>
          <w:kern w:val="2"/>
          <w:highlight w:val="white"/>
          <w:lang w:eastAsia="zh-CN"/>
        </w:rPr>
        <w:t xml:space="preserve">10.5 </w:t>
      </w:r>
      <w:r>
        <w:rPr>
          <w:rFonts w:hint="eastAsia" w:ascii="宋体" w:hAnsi="宋体" w:eastAsia="宋体" w:cs="宋体"/>
          <w:color w:val="000000"/>
          <w:kern w:val="2"/>
          <w:highlight w:val="white"/>
          <w:lang w:eastAsia="zh-CN"/>
        </w:rPr>
        <w:t>对于影响恶劣的严重违法失信行为，推送财政部纳入政府采购严重违法失信行为记录名单。</w:t>
      </w:r>
    </w:p>
    <w:p w14:paraId="6FB1160C">
      <w:pPr>
        <w:widowControl w:val="0"/>
        <w:adjustRightInd w:val="0"/>
        <w:snapToGrid w:val="0"/>
        <w:spacing w:after="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color w:val="000000"/>
          <w:kern w:val="2"/>
          <w:highlight w:val="white"/>
          <w:lang w:eastAsia="zh-CN"/>
        </w:rPr>
        <w:t>10.6 对于本协议未约定的、招标（采购）文件（技术部分）中约定的违约处理条款，按招标（采购）文件（技术部分）相关约定执行；对本协议与招标（采购）文件（技术部分）约定不同的违约处理条款，以本协议约定为准。</w:t>
      </w:r>
    </w:p>
    <w:p w14:paraId="15775222">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p>
    <w:p w14:paraId="1F16AC85">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11. 不可抗力及其他</w:t>
      </w:r>
    </w:p>
    <w:p w14:paraId="1389E604">
      <w:pPr>
        <w:widowControl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color w:val="000000"/>
          <w:kern w:val="2"/>
          <w:highlight w:val="white"/>
          <w:lang w:eastAsia="zh-CN"/>
        </w:rPr>
        <w:t>11</w:t>
      </w:r>
      <w:r>
        <w:rPr>
          <w:rFonts w:ascii="宋体" w:hAnsi="宋体" w:eastAsia="宋体"/>
          <w:color w:val="000000"/>
          <w:kern w:val="2"/>
          <w:highlight w:val="white"/>
          <w:lang w:eastAsia="zh-CN"/>
        </w:rPr>
        <w:t xml:space="preserve">.1 </w:t>
      </w:r>
      <w:r>
        <w:rPr>
          <w:rFonts w:hint="eastAsia" w:ascii="宋体" w:hAnsi="宋体" w:eastAsia="宋体"/>
          <w:color w:val="000000"/>
          <w:kern w:val="2"/>
          <w:highlight w:val="white"/>
          <w:lang w:eastAsia="zh-CN"/>
        </w:rPr>
        <w:t>如果乙方因不可抗力而导致合同实施延误或不能履行合同义务，不应承担误期赔偿或终止合同的责任。</w:t>
      </w:r>
    </w:p>
    <w:p w14:paraId="2D788A9B">
      <w:pPr>
        <w:widowControl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color w:val="000000"/>
          <w:kern w:val="2"/>
          <w:highlight w:val="white"/>
          <w:lang w:eastAsia="zh-CN"/>
        </w:rPr>
        <w:t>11</w:t>
      </w:r>
      <w:r>
        <w:rPr>
          <w:rFonts w:ascii="宋体" w:hAnsi="宋体" w:eastAsia="宋体"/>
          <w:color w:val="000000"/>
          <w:kern w:val="2"/>
          <w:highlight w:val="white"/>
          <w:lang w:eastAsia="zh-CN"/>
        </w:rPr>
        <w:t>.2</w:t>
      </w:r>
      <w:r>
        <w:rPr>
          <w:rFonts w:hint="eastAsia" w:ascii="宋体" w:hAnsi="宋体" w:eastAsia="宋体"/>
          <w:color w:val="000000"/>
          <w:kern w:val="2"/>
          <w:highlight w:val="white"/>
          <w:lang w:eastAsia="zh-CN"/>
        </w:rPr>
        <w:t xml:space="preserve"> 本条所述的“不可抗力”系指双方不可预见、不可避免、不可克服的客观情况，但不包括双方的违约或疏忽。这些事件包括但不限于：战争、严重火灾、洪水、台风、地震、疫情等。</w:t>
      </w:r>
    </w:p>
    <w:p w14:paraId="1BF111FC">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olor w:val="000000"/>
          <w:kern w:val="2"/>
          <w:highlight w:val="white"/>
          <w:lang w:eastAsia="zh-CN"/>
        </w:rPr>
        <w:t>11</w:t>
      </w:r>
      <w:r>
        <w:rPr>
          <w:rFonts w:ascii="宋体" w:hAnsi="宋体" w:eastAsia="宋体"/>
          <w:color w:val="000000"/>
          <w:kern w:val="2"/>
          <w:highlight w:val="white"/>
          <w:lang w:eastAsia="zh-CN"/>
        </w:rPr>
        <w:t>.3</w:t>
      </w:r>
      <w:r>
        <w:rPr>
          <w:rFonts w:hint="eastAsia" w:ascii="宋体" w:hAnsi="宋体" w:eastAsia="宋体"/>
          <w:color w:val="000000"/>
          <w:kern w:val="2"/>
          <w:highlight w:val="white"/>
          <w:lang w:eastAsia="zh-CN"/>
        </w:rPr>
        <w:t xml:space="preserve"> 在不可抗力事件发生后，当事方应及时将不可抗力情况通知合同对方，在不可抗力事件结束后</w:t>
      </w:r>
      <w:r>
        <w:rPr>
          <w:rFonts w:ascii="宋体" w:hAnsi="宋体" w:eastAsia="宋体"/>
          <w:color w:val="000000"/>
          <w:kern w:val="2"/>
          <w:highlight w:val="white"/>
          <w:lang w:eastAsia="zh-CN"/>
        </w:rPr>
        <w:t>3</w:t>
      </w:r>
      <w:r>
        <w:rPr>
          <w:rFonts w:hint="eastAsia" w:ascii="宋体" w:hAnsi="宋体" w:eastAsia="宋体"/>
          <w:color w:val="000000"/>
          <w:kern w:val="2"/>
          <w:highlight w:val="white"/>
          <w:lang w:eastAsia="zh-CN"/>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14:paraId="5A6D8D92">
      <w:pPr>
        <w:widowControl w:val="0"/>
        <w:snapToGrid w:val="0"/>
        <w:spacing w:after="0" w:line="360" w:lineRule="auto"/>
        <w:ind w:firstLine="420" w:firstLineChars="200"/>
        <w:jc w:val="both"/>
        <w:rPr>
          <w:rFonts w:ascii="宋体" w:hAnsi="宋体" w:eastAsia="宋体" w:cs="宋体"/>
          <w:b/>
          <w:kern w:val="2"/>
          <w:lang w:eastAsia="zh-CN"/>
        </w:rPr>
      </w:pPr>
      <w:r>
        <w:rPr>
          <w:rFonts w:hint="eastAsia" w:ascii="宋体" w:hAnsi="宋体" w:eastAsia="宋体" w:cs="宋体"/>
          <w:bCs/>
          <w:color w:val="000000"/>
          <w:kern w:val="2"/>
          <w:highlight w:val="white"/>
          <w:lang w:eastAsia="zh-CN"/>
        </w:rPr>
        <w:t>11.</w:t>
      </w:r>
      <w:r>
        <w:rPr>
          <w:rFonts w:ascii="宋体" w:hAnsi="宋体" w:eastAsia="宋体" w:cs="宋体"/>
          <w:bCs/>
          <w:color w:val="000000"/>
          <w:kern w:val="2"/>
          <w:highlight w:val="white"/>
          <w:lang w:eastAsia="zh-CN"/>
        </w:rPr>
        <w:t>4</w:t>
      </w:r>
      <w:r>
        <w:rPr>
          <w:rFonts w:hint="eastAsia" w:ascii="宋体" w:hAnsi="宋体" w:eastAsia="宋体" w:cs="宋体"/>
          <w:bCs/>
          <w:color w:val="000000"/>
          <w:kern w:val="2"/>
          <w:highlight w:val="white"/>
          <w:lang w:eastAsia="zh-CN"/>
        </w:rPr>
        <w:t>如因</w:t>
      </w:r>
      <w:r>
        <w:rPr>
          <w:rFonts w:hint="eastAsia" w:ascii="宋体" w:hAnsi="宋体" w:eastAsia="宋体" w:cs="宋体"/>
          <w:color w:val="000000"/>
          <w:kern w:val="2"/>
          <w:highlight w:val="white"/>
          <w:lang w:eastAsia="zh-CN"/>
        </w:rPr>
        <w:t>国家政策变化、技术实施所需的客观环境发生变化、重大技术变化、国家调减预算、</w:t>
      </w:r>
      <w:r>
        <w:rPr>
          <w:rFonts w:hint="eastAsia" w:ascii="宋体" w:hAnsi="宋体" w:eastAsia="宋体"/>
          <w:color w:val="000000"/>
          <w:kern w:val="2"/>
          <w:highlight w:val="white"/>
          <w:lang w:eastAsia="zh-CN"/>
        </w:rPr>
        <w:t>乙方在执行合同的过程中发生对履行合同有直接影响的重大事故或变故、</w:t>
      </w:r>
      <w:r>
        <w:rPr>
          <w:rFonts w:hint="eastAsia" w:ascii="宋体" w:hAnsi="宋体" w:eastAsia="宋体" w:cs="宋体"/>
          <w:color w:val="000000"/>
          <w:kern w:val="2"/>
          <w:highlight w:val="white"/>
          <w:lang w:eastAsia="zh-CN"/>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14:paraId="3AAB3D84">
      <w:pPr>
        <w:widowControl w:val="0"/>
        <w:snapToGrid w:val="0"/>
        <w:spacing w:after="0" w:line="360" w:lineRule="auto"/>
        <w:ind w:firstLine="422" w:firstLineChars="200"/>
        <w:jc w:val="both"/>
        <w:rPr>
          <w:rFonts w:hint="eastAsia" w:ascii="宋体" w:hAnsi="宋体" w:eastAsia="宋体" w:cs="宋体"/>
          <w:b/>
          <w:kern w:val="2"/>
          <w:lang w:eastAsia="zh-CN"/>
        </w:rPr>
      </w:pPr>
    </w:p>
    <w:p w14:paraId="013F2AF4">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12. 争端的解决</w:t>
      </w:r>
    </w:p>
    <w:p w14:paraId="600BBFFC">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2</w:t>
      </w:r>
      <w:r>
        <w:rPr>
          <w:rFonts w:ascii="宋体" w:hAnsi="宋体" w:eastAsia="宋体"/>
          <w:color w:val="000000"/>
          <w:kern w:val="2"/>
          <w:highlight w:val="white"/>
          <w:lang w:eastAsia="zh-CN"/>
        </w:rPr>
        <w:t xml:space="preserve">.1 </w:t>
      </w:r>
      <w:r>
        <w:rPr>
          <w:rFonts w:hint="eastAsia" w:ascii="宋体" w:hAnsi="宋体" w:eastAsia="宋体"/>
          <w:color w:val="000000"/>
          <w:kern w:val="2"/>
          <w:highlight w:val="white"/>
          <w:lang w:eastAsia="zh-CN"/>
        </w:rPr>
        <w:t>甲乙双方应通过友好协商，解决在执行本合同中所发生的或与本合同有关的一切争端。如从协商开始</w:t>
      </w:r>
      <w:r>
        <w:rPr>
          <w:rFonts w:ascii="宋体" w:hAnsi="宋体" w:eastAsia="宋体"/>
          <w:color w:val="000000"/>
          <w:kern w:val="2"/>
          <w:highlight w:val="white"/>
          <w:lang w:eastAsia="zh-CN"/>
        </w:rPr>
        <w:t>30</w:t>
      </w:r>
      <w:r>
        <w:rPr>
          <w:rFonts w:hint="eastAsia" w:ascii="宋体" w:hAnsi="宋体" w:eastAsia="宋体"/>
          <w:color w:val="000000"/>
          <w:kern w:val="2"/>
          <w:highlight w:val="white"/>
          <w:lang w:eastAsia="zh-CN"/>
        </w:rPr>
        <w:t>天内仍不能解决，则应提请仲裁。</w:t>
      </w:r>
    </w:p>
    <w:p w14:paraId="3F6DB6E2">
      <w:pPr>
        <w:widowControl w:val="0"/>
        <w:snapToGrid w:val="0"/>
        <w:spacing w:after="0" w:line="360" w:lineRule="auto"/>
        <w:ind w:firstLine="420" w:firstLineChars="20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2</w:t>
      </w:r>
      <w:r>
        <w:rPr>
          <w:rFonts w:ascii="宋体" w:hAnsi="宋体" w:eastAsia="宋体"/>
          <w:color w:val="000000"/>
          <w:kern w:val="2"/>
          <w:highlight w:val="white"/>
          <w:lang w:eastAsia="zh-CN"/>
        </w:rPr>
        <w:t xml:space="preserve">.2 </w:t>
      </w:r>
      <w:r>
        <w:rPr>
          <w:rFonts w:hint="eastAsia" w:ascii="宋体" w:hAnsi="宋体" w:eastAsia="宋体"/>
          <w:color w:val="000000"/>
          <w:kern w:val="2"/>
          <w:highlight w:val="white"/>
          <w:lang w:eastAsia="zh-CN"/>
        </w:rPr>
        <w:t>仲裁应由</w:t>
      </w:r>
      <w:r>
        <w:rPr>
          <w:rFonts w:hint="eastAsia" w:ascii="宋体" w:hAnsi="宋体" w:eastAsia="宋体"/>
          <w:color w:val="000000"/>
          <w:kern w:val="2"/>
          <w:highlight w:val="white"/>
          <w:u w:val="single"/>
          <w:lang w:eastAsia="zh-CN"/>
        </w:rPr>
        <w:t>长春仲裁委员会</w:t>
      </w:r>
      <w:r>
        <w:rPr>
          <w:rFonts w:hint="eastAsia" w:ascii="宋体" w:hAnsi="宋体" w:eastAsia="宋体"/>
          <w:color w:val="000000"/>
          <w:kern w:val="2"/>
          <w:highlight w:val="white"/>
          <w:lang w:eastAsia="zh-CN"/>
        </w:rPr>
        <w:t>根据其仲裁程序在</w:t>
      </w:r>
      <w:r>
        <w:rPr>
          <w:rFonts w:hint="eastAsia" w:ascii="宋体" w:hAnsi="宋体" w:eastAsia="宋体"/>
          <w:color w:val="000000"/>
          <w:kern w:val="2"/>
          <w:highlight w:val="white"/>
          <w:u w:val="single"/>
          <w:lang w:eastAsia="zh-CN"/>
        </w:rPr>
        <w:t>长春</w:t>
      </w:r>
      <w:r>
        <w:rPr>
          <w:rFonts w:hint="eastAsia" w:ascii="宋体" w:hAnsi="宋体" w:eastAsia="宋体"/>
          <w:color w:val="000000"/>
          <w:kern w:val="2"/>
          <w:highlight w:val="white"/>
          <w:lang w:eastAsia="zh-CN"/>
        </w:rPr>
        <w:t>进行仲裁。</w:t>
      </w:r>
    </w:p>
    <w:p w14:paraId="33EA5EF5">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2</w:t>
      </w:r>
      <w:r>
        <w:rPr>
          <w:rFonts w:ascii="宋体" w:hAnsi="宋体" w:eastAsia="宋体"/>
          <w:color w:val="000000"/>
          <w:kern w:val="2"/>
          <w:highlight w:val="white"/>
          <w:lang w:eastAsia="zh-CN"/>
        </w:rPr>
        <w:t xml:space="preserve">.3 </w:t>
      </w:r>
      <w:r>
        <w:rPr>
          <w:rFonts w:hint="eastAsia" w:ascii="宋体" w:hAnsi="宋体" w:eastAsia="宋体"/>
          <w:color w:val="000000"/>
          <w:kern w:val="2"/>
          <w:highlight w:val="white"/>
          <w:lang w:eastAsia="zh-CN"/>
        </w:rPr>
        <w:t>仲裁裁决应为最终裁决，对双方均具有约束力。</w:t>
      </w:r>
    </w:p>
    <w:p w14:paraId="18CF6108">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2</w:t>
      </w:r>
      <w:r>
        <w:rPr>
          <w:rFonts w:ascii="宋体" w:hAnsi="宋体" w:eastAsia="宋体"/>
          <w:color w:val="000000"/>
          <w:kern w:val="2"/>
          <w:highlight w:val="white"/>
          <w:lang w:eastAsia="zh-CN"/>
        </w:rPr>
        <w:t xml:space="preserve">.4 </w:t>
      </w:r>
      <w:r>
        <w:rPr>
          <w:rFonts w:hint="eastAsia" w:ascii="宋体" w:hAnsi="宋体" w:eastAsia="宋体"/>
          <w:color w:val="000000"/>
          <w:kern w:val="2"/>
          <w:highlight w:val="white"/>
          <w:lang w:eastAsia="zh-CN"/>
        </w:rPr>
        <w:t>仲裁费除仲裁机关另有裁决外应由败诉方负担。</w:t>
      </w:r>
    </w:p>
    <w:p w14:paraId="4A4997B8">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2</w:t>
      </w:r>
      <w:r>
        <w:rPr>
          <w:rFonts w:ascii="宋体" w:hAnsi="宋体" w:eastAsia="宋体"/>
          <w:color w:val="000000"/>
          <w:kern w:val="2"/>
          <w:highlight w:val="white"/>
          <w:lang w:eastAsia="zh-CN"/>
        </w:rPr>
        <w:t xml:space="preserve">.5 </w:t>
      </w:r>
      <w:r>
        <w:rPr>
          <w:rFonts w:hint="eastAsia" w:ascii="宋体" w:hAnsi="宋体" w:eastAsia="宋体"/>
          <w:color w:val="000000"/>
          <w:kern w:val="2"/>
          <w:highlight w:val="white"/>
          <w:lang w:eastAsia="zh-CN"/>
        </w:rPr>
        <w:t>在仲裁期间，除正在进行仲裁部分外，本合同的</w:t>
      </w:r>
      <w:r>
        <w:rPr>
          <w:rFonts w:hint="eastAsia" w:ascii="宋体" w:hAnsi="宋体"/>
          <w:color w:val="000000"/>
          <w:kern w:val="2"/>
          <w:highlight w:val="white"/>
          <w:lang w:eastAsia="zh-CN"/>
        </w:rPr>
        <w:t>其他</w:t>
      </w:r>
      <w:r>
        <w:rPr>
          <w:rFonts w:hint="eastAsia" w:ascii="宋体" w:hAnsi="宋体" w:eastAsia="宋体"/>
          <w:color w:val="000000"/>
          <w:kern w:val="2"/>
          <w:highlight w:val="white"/>
          <w:lang w:eastAsia="zh-CN"/>
        </w:rPr>
        <w:t>部分应继续执行。</w:t>
      </w:r>
    </w:p>
    <w:p w14:paraId="612545D0">
      <w:pPr>
        <w:widowControl w:val="0"/>
        <w:snapToGrid w:val="0"/>
        <w:spacing w:after="0" w:line="360" w:lineRule="auto"/>
        <w:ind w:firstLine="422" w:firstLineChars="200"/>
        <w:jc w:val="both"/>
        <w:rPr>
          <w:rFonts w:hint="eastAsia" w:ascii="宋体" w:hAnsi="宋体" w:eastAsia="宋体" w:cs="宋体"/>
          <w:b/>
          <w:kern w:val="2"/>
          <w:lang w:eastAsia="zh-CN"/>
        </w:rPr>
      </w:pPr>
    </w:p>
    <w:p w14:paraId="2A778AA6">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13. 违约解除合同</w:t>
      </w:r>
    </w:p>
    <w:p w14:paraId="07833E73">
      <w:pPr>
        <w:widowControl w:val="0"/>
        <w:topLinePunct/>
        <w:autoSpaceDE w:val="0"/>
        <w:autoSpaceDN w:val="0"/>
        <w:adjustRightInd w:val="0"/>
        <w:snapToGrid w:val="0"/>
        <w:spacing w:after="0" w:line="360" w:lineRule="auto"/>
        <w:ind w:firstLine="420" w:firstLineChars="20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 xml:space="preserve">.1 </w:t>
      </w:r>
      <w:r>
        <w:rPr>
          <w:rFonts w:hint="eastAsia" w:ascii="宋体" w:hAnsi="宋体" w:eastAsia="宋体"/>
          <w:color w:val="000000"/>
          <w:kern w:val="2"/>
          <w:highlight w:val="white"/>
          <w:lang w:eastAsia="zh-CN"/>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14:paraId="2FF20C78">
      <w:pPr>
        <w:widowControl w:val="0"/>
        <w:topLinePunct/>
        <w:autoSpaceDE w:val="0"/>
        <w:autoSpaceDN w:val="0"/>
        <w:adjustRightInd w:val="0"/>
        <w:snapToGrid w:val="0"/>
        <w:spacing w:after="0" w:line="360" w:lineRule="auto"/>
        <w:ind w:firstLine="420" w:firstLineChars="200"/>
        <w:jc w:val="both"/>
        <w:rPr>
          <w:rFonts w:hint="eastAsia" w:ascii="宋体" w:hAnsi="宋体" w:eastAsia="宋体"/>
          <w:kern w:val="2"/>
          <w:lang w:eastAsia="zh-CN"/>
        </w:rPr>
      </w:pPr>
      <w:r>
        <w:rPr>
          <w:rFonts w:hint="eastAsia" w:ascii="宋体" w:hAnsi="宋体" w:eastAsia="宋体"/>
          <w:color w:val="000000"/>
          <w:kern w:val="2"/>
          <w:highlight w:val="white"/>
          <w:lang w:eastAsia="zh-CN"/>
        </w:rPr>
        <w:t>13.1.1 除另有约定外，乙方不履行合同义务或者履行合同义务不符合合同约定，累计达2次的；</w:t>
      </w:r>
    </w:p>
    <w:p w14:paraId="12F288A9">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2 除另有约定外，如果乙方未能在合同规定的期限或甲方同意延长的期限内提供货物或服务，迟延累计达20日的；</w:t>
      </w:r>
    </w:p>
    <w:p w14:paraId="1343EFD5">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 因乙方人员自身技术能力、经验不足等问题造成甲方发生重大紧急故障，带来重大影响和损失的；</w:t>
      </w:r>
    </w:p>
    <w:p w14:paraId="7C475A37">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4 乙方对重大紧急故障没有及时响应，或不能在规定时间内解决处理故障、恢复正常运行的；</w:t>
      </w:r>
    </w:p>
    <w:p w14:paraId="7A9E8F4E">
      <w:pPr>
        <w:widowControl w:val="0"/>
        <w:topLinePunct/>
        <w:autoSpaceDE w:val="0"/>
        <w:autoSpaceDN w:val="0"/>
        <w:adjustRightInd w:val="0"/>
        <w:snapToGrid w:val="0"/>
        <w:spacing w:after="0" w:line="360" w:lineRule="auto"/>
        <w:ind w:firstLine="420" w:firstLineChars="20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5 不能满足本项目技术需求的管理要求和规范，且经2次整改无明显改进的；</w:t>
      </w:r>
    </w:p>
    <w:p w14:paraId="32A75A2F">
      <w:pPr>
        <w:widowControl w:val="0"/>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13.1.6 乙方拒不修复或更换有缺陷的、损坏的货物的；</w:t>
      </w:r>
    </w:p>
    <w:p w14:paraId="0C838999">
      <w:pPr>
        <w:widowControl w:val="0"/>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13.1.7 乙方提供的</w:t>
      </w:r>
      <w:r>
        <w:rPr>
          <w:rFonts w:ascii="宋体" w:hAnsi="宋体" w:eastAsia="宋体" w:cs="宋体"/>
          <w:color w:val="000000"/>
          <w:kern w:val="2"/>
          <w:highlight w:val="white"/>
          <w:lang w:eastAsia="zh-CN"/>
        </w:rPr>
        <w:t>服务</w:t>
      </w:r>
      <w:r>
        <w:rPr>
          <w:rFonts w:hint="eastAsia" w:ascii="宋体" w:hAnsi="宋体" w:eastAsia="宋体" w:cs="宋体"/>
          <w:color w:val="000000"/>
          <w:kern w:val="2"/>
          <w:highlight w:val="white"/>
          <w:lang w:eastAsia="zh-CN"/>
        </w:rPr>
        <w:t>侵犯甲方、第三方知识产权等合法权益的；</w:t>
      </w:r>
    </w:p>
    <w:p w14:paraId="10BDC999">
      <w:pPr>
        <w:widowControl w:val="0"/>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13.1.8 乙方</w:t>
      </w:r>
      <w:r>
        <w:rPr>
          <w:rFonts w:ascii="宋体" w:hAnsi="宋体" w:eastAsia="宋体" w:cs="宋体"/>
          <w:color w:val="000000"/>
          <w:kern w:val="2"/>
          <w:highlight w:val="white"/>
          <w:lang w:eastAsia="zh-CN"/>
        </w:rPr>
        <w:t>或乙方人员</w:t>
      </w:r>
      <w:r>
        <w:rPr>
          <w:rFonts w:hint="eastAsia" w:ascii="宋体" w:hAnsi="宋体" w:eastAsia="宋体" w:cs="宋体"/>
          <w:color w:val="000000"/>
          <w:kern w:val="2"/>
          <w:highlight w:val="white"/>
          <w:lang w:eastAsia="zh-CN"/>
        </w:rPr>
        <w:t>造成甲方或第三方经济损失而拒不赔偿的；</w:t>
      </w:r>
    </w:p>
    <w:p w14:paraId="5D821A5C">
      <w:pPr>
        <w:widowControl w:val="0"/>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13.1.9 乙方转让其应履行的合同义务，或未经甲方同意采取分包方式履行合同的；</w:t>
      </w:r>
    </w:p>
    <w:p w14:paraId="13C5E637">
      <w:pPr>
        <w:widowControl w:val="0"/>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13.1.10 乙方在本合同履行过程中存在“围猎”</w:t>
      </w:r>
      <w:r>
        <w:rPr>
          <w:rFonts w:ascii="宋体" w:hAnsi="宋体" w:eastAsia="宋体" w:cs="宋体"/>
          <w:color w:val="000000"/>
          <w:kern w:val="2"/>
          <w:highlight w:val="white"/>
          <w:lang w:eastAsia="zh-CN"/>
        </w:rPr>
        <w:t>甲方</w:t>
      </w:r>
      <w:r>
        <w:rPr>
          <w:rFonts w:hint="eastAsia" w:ascii="宋体" w:hAnsi="宋体" w:eastAsia="宋体" w:cs="宋体"/>
          <w:color w:val="000000"/>
          <w:kern w:val="2"/>
          <w:highlight w:val="white"/>
          <w:lang w:eastAsia="zh-CN"/>
        </w:rPr>
        <w:t>税务人员行为的（指以获取不正当利益为目的，采取馈赠礼品礼金、邀请娱乐旅游消费、提供便利条件等非正常交往手段“围猎”相关税务人员及亲属）；</w:t>
      </w:r>
    </w:p>
    <w:p w14:paraId="7454566F">
      <w:pPr>
        <w:widowControl w:val="0"/>
        <w:spacing w:before="0" w:after="120" w:line="259" w:lineRule="auto"/>
        <w:ind w:left="0" w:right="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 xml:space="preserve">    13.1.11 乙方有其他严重违约行为的。</w:t>
      </w:r>
    </w:p>
    <w:p w14:paraId="270FA694">
      <w:pPr>
        <w:widowControl w:val="0"/>
        <w:adjustRightInd w:val="0"/>
        <w:snapToGrid w:val="0"/>
        <w:spacing w:after="0" w:line="360" w:lineRule="auto"/>
        <w:ind w:firstLine="441" w:firstLineChars="210"/>
        <w:jc w:val="both"/>
        <w:rPr>
          <w:rFonts w:hint="eastAsia"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 xml:space="preserve">.2 </w:t>
      </w:r>
      <w:r>
        <w:rPr>
          <w:rFonts w:hint="eastAsia" w:ascii="宋体" w:hAnsi="宋体" w:eastAsia="宋体"/>
          <w:color w:val="000000"/>
          <w:kern w:val="2"/>
          <w:highlight w:val="white"/>
          <w:lang w:eastAsia="zh-CN"/>
        </w:rPr>
        <w:t>如果甲方根据上述第</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3</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条的规定，解除了全部或部分合同，甲方可以适当</w:t>
      </w:r>
      <w:r>
        <w:rPr>
          <w:rFonts w:hint="eastAsia" w:ascii="宋体" w:hAnsi="宋体"/>
          <w:color w:val="000000"/>
          <w:kern w:val="2"/>
          <w:highlight w:val="white"/>
          <w:lang w:eastAsia="zh-CN"/>
        </w:rPr>
        <w:t>地</w:t>
      </w:r>
      <w:r>
        <w:rPr>
          <w:rFonts w:hint="eastAsia" w:ascii="宋体" w:hAnsi="宋体" w:eastAsia="宋体"/>
          <w:color w:val="000000"/>
          <w:kern w:val="2"/>
          <w:highlight w:val="white"/>
          <w:lang w:eastAsia="zh-CN"/>
        </w:rPr>
        <w:t>条件和方法购买乙方未能提供的货物及服务，乙方应对甲方购买类似货物及服务所超出的费用负责。同时，乙方应继续执行合同中未解除的部分。</w:t>
      </w:r>
    </w:p>
    <w:p w14:paraId="7E2E2F16">
      <w:pPr>
        <w:widowControl w:val="0"/>
        <w:snapToGrid w:val="0"/>
        <w:spacing w:after="0" w:line="360" w:lineRule="auto"/>
        <w:ind w:firstLine="540"/>
        <w:jc w:val="both"/>
        <w:rPr>
          <w:rFonts w:hint="eastAsia" w:ascii="宋体" w:hAnsi="宋体" w:eastAsia="宋体" w:cs="宋体"/>
          <w:kern w:val="2"/>
          <w:lang w:eastAsia="zh-CN"/>
        </w:rPr>
      </w:pPr>
    </w:p>
    <w:p w14:paraId="73F5BC84">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14. 破产终止合同</w:t>
      </w:r>
    </w:p>
    <w:p w14:paraId="502F7E1B">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4</w:t>
      </w:r>
      <w:r>
        <w:rPr>
          <w:rFonts w:ascii="宋体" w:hAnsi="宋体" w:eastAsia="宋体"/>
          <w:color w:val="000000"/>
          <w:kern w:val="2"/>
          <w:highlight w:val="white"/>
          <w:lang w:eastAsia="zh-CN"/>
        </w:rPr>
        <w:t xml:space="preserve">.1 </w:t>
      </w:r>
      <w:r>
        <w:rPr>
          <w:rFonts w:hint="eastAsia" w:ascii="宋体" w:hAnsi="宋体" w:eastAsia="宋体"/>
          <w:color w:val="000000"/>
          <w:kern w:val="2"/>
          <w:highlight w:val="white"/>
          <w:lang w:eastAsia="zh-CN"/>
        </w:rPr>
        <w:t>如果乙方破产或无清偿能力，甲方可在任何时候以书面形式通知乙方终止合同而不给乙方补偿。</w:t>
      </w:r>
    </w:p>
    <w:p w14:paraId="0191F757">
      <w:pPr>
        <w:widowControl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color w:val="000000"/>
          <w:kern w:val="2"/>
          <w:highlight w:val="white"/>
          <w:lang w:eastAsia="zh-CN"/>
        </w:rPr>
        <w:t>14.2 该终止合同将不损害或影响甲方已经采取或将要采取的任何行动或补救措施的权利。</w:t>
      </w:r>
    </w:p>
    <w:p w14:paraId="1DCEB243">
      <w:pPr>
        <w:widowControl w:val="0"/>
        <w:topLinePunct/>
        <w:autoSpaceDE w:val="0"/>
        <w:autoSpaceDN w:val="0"/>
        <w:snapToGrid w:val="0"/>
        <w:spacing w:after="0" w:line="360" w:lineRule="auto"/>
        <w:jc w:val="both"/>
        <w:rPr>
          <w:rFonts w:hint="eastAsia" w:ascii="宋体" w:hAnsi="宋体" w:eastAsia="宋体" w:cs="宋体"/>
          <w:kern w:val="2"/>
          <w:lang w:eastAsia="zh-CN"/>
        </w:rPr>
      </w:pPr>
    </w:p>
    <w:p w14:paraId="1429ED32">
      <w:pPr>
        <w:widowControl w:val="0"/>
        <w:tabs>
          <w:tab w:val="left" w:pos="700"/>
        </w:tabs>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15. 合同修改或变更</w:t>
      </w:r>
    </w:p>
    <w:p w14:paraId="3618E37E">
      <w:pPr>
        <w:widowControl w:val="0"/>
        <w:snapToGrid w:val="0"/>
        <w:spacing w:after="0" w:line="360" w:lineRule="auto"/>
        <w:ind w:firstLine="482"/>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15.1 合同如有未尽事宜，须经甲乙双方共同协商，做出补充约定，并签订书面补充合同或变更协议。补充合同或变更协议作为本合同的一部分，与本合同具有同等效力。</w:t>
      </w:r>
    </w:p>
    <w:p w14:paraId="2B43ECE8">
      <w:pPr>
        <w:widowControl w:val="0"/>
        <w:topLinePunct/>
        <w:autoSpaceDE w:val="0"/>
        <w:autoSpaceDN w:val="0"/>
        <w:snapToGrid w:val="0"/>
        <w:spacing w:after="0" w:line="360" w:lineRule="auto"/>
        <w:ind w:firstLine="420" w:firstLineChars="200"/>
        <w:jc w:val="both"/>
        <w:rPr>
          <w:rFonts w:hint="eastAsia" w:ascii="宋体" w:hAnsi="宋体" w:eastAsia="宋体" w:cs="宋体"/>
          <w:b/>
          <w:kern w:val="2"/>
          <w:lang w:eastAsia="zh-CN"/>
        </w:rPr>
      </w:pPr>
      <w:r>
        <w:rPr>
          <w:rFonts w:hint="eastAsia" w:ascii="宋体" w:hAnsi="宋体" w:eastAsia="宋体" w:cs="宋体"/>
          <w:color w:val="000000"/>
          <w:kern w:val="2"/>
          <w:highlight w:val="white"/>
          <w:lang w:eastAsia="zh-CN"/>
        </w:rPr>
        <w:t>15.2 除了双方签署书面修改或变更协议，并成为本合同不可分割的一部分的情况之外，本合同的条款不得有任何变化或修改。</w:t>
      </w:r>
    </w:p>
    <w:p w14:paraId="19F5CEC9">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15.3 由于甲方项目统一规划等原因导致本项目停止部分服务的，甲方将与乙方协商处理。</w:t>
      </w:r>
    </w:p>
    <w:p w14:paraId="3CED79DC">
      <w:pPr>
        <w:widowControl w:val="0"/>
        <w:snapToGrid w:val="0"/>
        <w:spacing w:after="0" w:line="360" w:lineRule="auto"/>
        <w:jc w:val="both"/>
        <w:rPr>
          <w:rFonts w:hint="eastAsia" w:ascii="宋体" w:hAnsi="宋体" w:eastAsia="宋体" w:cs="宋体"/>
          <w:kern w:val="2"/>
          <w:lang w:eastAsia="zh-CN"/>
        </w:rPr>
      </w:pPr>
    </w:p>
    <w:p w14:paraId="0FFFDEC4">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16. 转让和分包</w:t>
      </w:r>
    </w:p>
    <w:p w14:paraId="18F776FC">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6</w:t>
      </w: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 xml:space="preserve"> 乙方不得部分转让或全部转让其应履行的合同义务。</w:t>
      </w:r>
    </w:p>
    <w:p w14:paraId="1F29A5B4">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olor w:val="000000"/>
          <w:kern w:val="2"/>
          <w:highlight w:val="white"/>
          <w:lang w:eastAsia="zh-CN"/>
        </w:rPr>
        <w:t xml:space="preserve">16.2 </w:t>
      </w:r>
      <w:r>
        <w:rPr>
          <w:rFonts w:hint="eastAsia" w:ascii="宋体" w:hAnsi="宋体" w:eastAsia="宋体" w:cs="宋体"/>
          <w:color w:val="000000"/>
          <w:kern w:val="2"/>
          <w:highlight w:val="white"/>
          <w:lang w:eastAsia="zh-CN"/>
        </w:rPr>
        <w:t>未经甲方同意，乙方不得采取分包方式履行合同。经甲方同意分包履行合同的，乙方就采购项目及分包项目向甲方负责，分包供应商就分包项目承担责任。</w:t>
      </w:r>
    </w:p>
    <w:p w14:paraId="0D81CCB4">
      <w:pPr>
        <w:widowControl w:val="0"/>
        <w:snapToGrid w:val="0"/>
        <w:spacing w:after="0" w:line="360" w:lineRule="auto"/>
        <w:ind w:firstLine="480"/>
        <w:jc w:val="both"/>
        <w:rPr>
          <w:rFonts w:hint="eastAsia" w:ascii="宋体" w:hAnsi="宋体" w:eastAsia="宋体" w:cs="宋体"/>
          <w:kern w:val="2"/>
          <w:lang w:val="en" w:eastAsia="zh-CN"/>
        </w:rPr>
      </w:pPr>
      <w:r>
        <w:rPr>
          <w:rFonts w:ascii="宋体" w:hAnsi="宋体" w:eastAsia="宋体" w:cs="宋体"/>
          <w:color w:val="000000"/>
          <w:kern w:val="2"/>
          <w:highlight w:val="white"/>
          <w:lang w:val="en" w:eastAsia="zh-CN"/>
        </w:rPr>
        <w:t>1</w:t>
      </w:r>
      <w:r>
        <w:rPr>
          <w:rFonts w:hint="eastAsia" w:ascii="宋体" w:hAnsi="宋体" w:eastAsia="宋体" w:cs="宋体"/>
          <w:color w:val="000000"/>
          <w:kern w:val="2"/>
          <w:highlight w:val="white"/>
          <w:lang w:eastAsia="zh-CN"/>
        </w:rPr>
        <w:t>6</w:t>
      </w:r>
      <w:r>
        <w:rPr>
          <w:rFonts w:ascii="宋体" w:hAnsi="宋体" w:eastAsia="宋体" w:cs="宋体"/>
          <w:color w:val="000000"/>
          <w:kern w:val="2"/>
          <w:highlight w:val="white"/>
          <w:lang w:val="en" w:eastAsia="zh-CN"/>
        </w:rPr>
        <w:t xml:space="preserve">.3 </w:t>
      </w:r>
      <w:r>
        <w:rPr>
          <w:rFonts w:hint="eastAsia" w:ascii="宋体" w:hAnsi="宋体" w:eastAsia="宋体" w:cs="宋体"/>
          <w:color w:val="000000"/>
          <w:kern w:val="2"/>
          <w:highlight w:val="white"/>
          <w:lang w:val="en" w:eastAsia="zh-CN"/>
        </w:rPr>
        <w:t>乙方不得对政务信息系统建设、运营、维护项目的主体和关键部分采取分包方式履行合同。</w:t>
      </w:r>
    </w:p>
    <w:p w14:paraId="1FB11BB5">
      <w:pPr>
        <w:widowControl w:val="0"/>
        <w:snapToGrid w:val="0"/>
        <w:spacing w:after="0" w:line="360" w:lineRule="auto"/>
        <w:ind w:firstLine="480"/>
        <w:jc w:val="both"/>
        <w:rPr>
          <w:rFonts w:hint="eastAsia" w:ascii="宋体" w:hAnsi="宋体" w:eastAsia="宋体" w:cs="宋体"/>
          <w:kern w:val="2"/>
          <w:lang w:val="en" w:eastAsia="zh-CN"/>
        </w:rPr>
      </w:pPr>
    </w:p>
    <w:p w14:paraId="592178BA">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17. 合同语言</w:t>
      </w:r>
    </w:p>
    <w:p w14:paraId="6458B19C">
      <w:pPr>
        <w:widowControl w:val="0"/>
        <w:topLinePunct/>
        <w:autoSpaceDE w:val="0"/>
        <w:autoSpaceDN w:val="0"/>
        <w:snapToGrid w:val="0"/>
        <w:spacing w:after="0" w:line="360" w:lineRule="auto"/>
        <w:ind w:firstLine="420" w:firstLineChars="200"/>
        <w:jc w:val="both"/>
        <w:rPr>
          <w:rFonts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7</w:t>
      </w:r>
      <w:r>
        <w:rPr>
          <w:rFonts w:ascii="宋体" w:hAnsi="宋体" w:eastAsia="宋体"/>
          <w:color w:val="000000"/>
          <w:kern w:val="2"/>
          <w:highlight w:val="white"/>
          <w:lang w:eastAsia="zh-CN"/>
        </w:rPr>
        <w:t xml:space="preserve">.1 </w:t>
      </w:r>
      <w:r>
        <w:rPr>
          <w:rFonts w:hint="eastAsia" w:ascii="宋体" w:hAnsi="宋体" w:eastAsia="宋体"/>
          <w:color w:val="000000"/>
          <w:kern w:val="2"/>
          <w:highlight w:val="white"/>
          <w:lang w:eastAsia="zh-CN"/>
        </w:rPr>
        <w:t>本合同语言为中文。</w:t>
      </w:r>
    </w:p>
    <w:p w14:paraId="7F2FE5AB">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color w:val="000000"/>
          <w:kern w:val="2"/>
          <w:highlight w:val="white"/>
          <w:lang w:eastAsia="zh-CN"/>
        </w:rPr>
        <w:t>1</w:t>
      </w:r>
      <w:r>
        <w:rPr>
          <w:rFonts w:hint="eastAsia" w:ascii="宋体" w:hAnsi="宋体" w:eastAsia="宋体"/>
          <w:color w:val="000000"/>
          <w:kern w:val="2"/>
          <w:highlight w:val="white"/>
          <w:lang w:eastAsia="zh-CN"/>
        </w:rPr>
        <w:t>7</w:t>
      </w:r>
      <w:r>
        <w:rPr>
          <w:rFonts w:ascii="宋体" w:hAnsi="宋体" w:eastAsia="宋体"/>
          <w:color w:val="000000"/>
          <w:kern w:val="2"/>
          <w:highlight w:val="white"/>
          <w:lang w:eastAsia="zh-CN"/>
        </w:rPr>
        <w:t xml:space="preserve">.2 </w:t>
      </w:r>
      <w:r>
        <w:rPr>
          <w:rFonts w:hint="eastAsia" w:ascii="宋体" w:hAnsi="宋体" w:eastAsia="宋体"/>
          <w:color w:val="000000"/>
          <w:kern w:val="2"/>
          <w:highlight w:val="white"/>
          <w:lang w:eastAsia="zh-CN"/>
        </w:rPr>
        <w:t>双方交换的与合同有关的信件和其他文件应用合同语言书写。</w:t>
      </w:r>
    </w:p>
    <w:p w14:paraId="461BB85A">
      <w:pPr>
        <w:widowControl w:val="0"/>
        <w:snapToGrid w:val="0"/>
        <w:spacing w:after="0" w:line="360" w:lineRule="auto"/>
        <w:ind w:firstLine="420" w:firstLineChars="200"/>
        <w:jc w:val="both"/>
        <w:rPr>
          <w:rFonts w:hint="eastAsia" w:ascii="宋体" w:hAnsi="宋体" w:eastAsia="宋体" w:cs="宋体"/>
          <w:kern w:val="2"/>
          <w:lang w:eastAsia="zh-CN"/>
        </w:rPr>
      </w:pPr>
    </w:p>
    <w:p w14:paraId="44454D62">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18. 适用法律</w:t>
      </w:r>
    </w:p>
    <w:p w14:paraId="3EB4771C">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18.1 本合同按照中华人民共和国现行法律进行解释。</w:t>
      </w:r>
    </w:p>
    <w:p w14:paraId="6EB8ACCA">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18.2 本合同的履行、违约责任和解决争议的方法等适用《中华人民共和国民法典（合同编）》。</w:t>
      </w:r>
    </w:p>
    <w:p w14:paraId="06C22AF5">
      <w:pPr>
        <w:widowControl w:val="0"/>
        <w:snapToGrid w:val="0"/>
        <w:spacing w:after="0" w:line="360" w:lineRule="auto"/>
        <w:ind w:firstLine="482"/>
        <w:jc w:val="both"/>
        <w:rPr>
          <w:rFonts w:hint="eastAsia" w:ascii="宋体" w:hAnsi="宋体" w:eastAsia="宋体" w:cs="宋体"/>
          <w:kern w:val="2"/>
          <w:lang w:eastAsia="zh-CN"/>
        </w:rPr>
      </w:pPr>
    </w:p>
    <w:p w14:paraId="33129823">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19. 税费</w:t>
      </w:r>
    </w:p>
    <w:p w14:paraId="75BBC8CB">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19.1 乙方应依法缴纳的合同货物及服务相关税费，均已包含于合同总金额中，甲方不再另行支付。</w:t>
      </w:r>
    </w:p>
    <w:p w14:paraId="48C465A5">
      <w:pPr>
        <w:widowControl w:val="0"/>
        <w:tabs>
          <w:tab w:val="left" w:pos="700"/>
        </w:tabs>
        <w:snapToGrid w:val="0"/>
        <w:spacing w:after="0" w:line="360" w:lineRule="auto"/>
        <w:jc w:val="both"/>
        <w:rPr>
          <w:rFonts w:hint="eastAsia" w:ascii="宋体" w:hAnsi="宋体" w:eastAsia="宋体" w:cs="宋体"/>
          <w:b/>
          <w:kern w:val="2"/>
          <w:lang w:eastAsia="zh-CN"/>
        </w:rPr>
      </w:pPr>
    </w:p>
    <w:p w14:paraId="305FA649">
      <w:pPr>
        <w:widowControl w:val="0"/>
        <w:tabs>
          <w:tab w:val="left" w:pos="700"/>
        </w:tabs>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color w:val="000000"/>
          <w:kern w:val="2"/>
          <w:highlight w:val="white"/>
          <w:lang w:eastAsia="zh-CN"/>
        </w:rPr>
        <w:t>20. 合同生效</w:t>
      </w:r>
    </w:p>
    <w:p w14:paraId="2BCD347E">
      <w:pPr>
        <w:widowControl w:val="0"/>
        <w:topLinePunct/>
        <w:autoSpaceDE w:val="0"/>
        <w:autoSpaceDN w:val="0"/>
        <w:snapToGrid w:val="0"/>
        <w:spacing w:after="0" w:line="360" w:lineRule="auto"/>
        <w:ind w:firstLine="420" w:firstLineChars="200"/>
        <w:jc w:val="both"/>
        <w:rPr>
          <w:rFonts w:ascii="宋体" w:hAnsi="宋体" w:eastAsia="宋体" w:cs="宋体"/>
          <w:kern w:val="2"/>
          <w:sz w:val="21"/>
          <w:lang w:eastAsia="zh-CN"/>
        </w:rPr>
      </w:pPr>
      <w:r>
        <w:rPr>
          <w:rFonts w:hint="eastAsia" w:ascii="宋体" w:hAnsi="宋体" w:eastAsia="宋体" w:cs="宋体"/>
          <w:color w:val="000000"/>
          <w:kern w:val="2"/>
          <w:highlight w:val="white"/>
          <w:lang w:eastAsia="zh-CN"/>
        </w:rPr>
        <w:t xml:space="preserve">20.1 </w:t>
      </w:r>
      <w:r>
        <w:rPr>
          <w:rFonts w:ascii="宋体" w:hAnsi="宋体" w:eastAsia="宋体" w:cs="宋体"/>
          <w:color w:val="000000"/>
          <w:kern w:val="2"/>
          <w:highlight w:val="white"/>
          <w:lang w:eastAsia="zh-CN"/>
        </w:rPr>
        <w:t>合同一式伍份，甲方叁份，乙方贰份</w:t>
      </w:r>
      <w:r>
        <w:rPr>
          <w:rFonts w:hint="eastAsia" w:ascii="宋体" w:hAnsi="宋体" w:eastAsia="宋体" w:cs="宋体"/>
          <w:color w:val="000000"/>
          <w:kern w:val="2"/>
          <w:highlight w:val="white"/>
          <w:lang w:eastAsia="zh-CN"/>
        </w:rPr>
        <w:t>，各份正本有同等法律效力</w:t>
      </w:r>
      <w:r>
        <w:rPr>
          <w:rFonts w:ascii="宋体" w:hAnsi="宋体" w:eastAsia="宋体" w:cs="宋体"/>
          <w:color w:val="000000"/>
          <w:kern w:val="2"/>
          <w:highlight w:val="white"/>
          <w:lang w:eastAsia="zh-CN"/>
        </w:rPr>
        <w:t>。本合同由甲、乙双方法定代表人或授权代表签字并加盖公章或合同专用章后生效。</w:t>
      </w:r>
    </w:p>
    <w:p w14:paraId="3035F111">
      <w:pPr>
        <w:pStyle w:val="18"/>
        <w:spacing w:line="360" w:lineRule="auto"/>
        <w:jc w:val="both"/>
        <w:rPr>
          <w:rFonts w:hint="default" w:hAnsi="宋体" w:eastAsia="宋体" w:cs="宋体"/>
          <w:b w:val="0"/>
          <w:bCs/>
          <w:color w:val="auto"/>
          <w:sz w:val="24"/>
          <w:szCs w:val="24"/>
          <w:highlight w:val="none"/>
          <w:lang w:val="en-US" w:eastAsia="zh-CN"/>
        </w:rPr>
      </w:pPr>
    </w:p>
    <w:p w14:paraId="75956D96">
      <w:pPr>
        <w:rPr>
          <w:rStyle w:val="37"/>
          <w:rFonts w:hint="eastAsia"/>
          <w:highlight w:val="none"/>
          <w:lang w:val="en-US" w:eastAsia="zh-CN"/>
        </w:rPr>
      </w:pPr>
      <w:r>
        <w:rPr>
          <w:rStyle w:val="37"/>
          <w:rFonts w:hint="eastAsia"/>
          <w:color w:val="000000"/>
          <w:highlight w:val="white"/>
          <w:lang w:val="en-US" w:eastAsia="zh-CN"/>
        </w:rPr>
        <w:br w:type="page"/>
      </w:r>
    </w:p>
    <w:p w14:paraId="2E0943D2">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hint="eastAsia" w:ascii="Times New Roman" w:hAnsi="Times New Roman" w:eastAsia="宋体" w:cs="Times New Roman"/>
          <w:b/>
          <w:bCs/>
          <w:color w:val="auto"/>
          <w:kern w:val="44"/>
          <w:sz w:val="36"/>
          <w:szCs w:val="36"/>
          <w:highlight w:val="none"/>
          <w:lang w:val="en-US" w:eastAsia="zh-CN" w:bidi="ar-SA"/>
        </w:rPr>
      </w:pPr>
      <w:r>
        <w:rPr>
          <w:rStyle w:val="37"/>
          <w:rFonts w:hint="eastAsia"/>
          <w:color w:val="000000"/>
          <w:highlight w:val="white"/>
          <w:lang w:val="en-US" w:eastAsia="zh-CN"/>
        </w:rPr>
        <w:t>第五章　投标文件格式</w:t>
      </w:r>
    </w:p>
    <w:p w14:paraId="63129044">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投标人必须按下列文本格式，如实提供具有法律效力的资格证明文件</w:t>
      </w:r>
      <w:r>
        <w:rPr>
          <w:rFonts w:hint="eastAsia" w:ascii="宋体" w:hAnsi="宋体" w:cs="宋体"/>
          <w:strike w:val="0"/>
          <w:dstrike w:val="0"/>
          <w:color w:val="000000"/>
          <w:sz w:val="24"/>
          <w:highlight w:val="white"/>
          <w:lang w:eastAsia="zh-CN"/>
        </w:rPr>
        <w:t>和真实有效的其他文件资料</w:t>
      </w:r>
      <w:r>
        <w:rPr>
          <w:rFonts w:hint="eastAsia" w:ascii="宋体" w:hAnsi="宋体" w:cs="宋体"/>
          <w:color w:val="000000"/>
          <w:sz w:val="24"/>
          <w:highlight w:val="white"/>
        </w:rPr>
        <w:t>，任何不按下列文本格式提供或有实质性变更将由投标人承担风险。</w:t>
      </w:r>
    </w:p>
    <w:p w14:paraId="07FE1172">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1.投标人应严格按照本章规定填写和提交全部格式文件以及其他有关资料，混乱的编排导致</w:t>
      </w:r>
      <w:r>
        <w:rPr>
          <w:rFonts w:hint="eastAsia" w:ascii="宋体" w:hAnsi="宋体" w:cs="宋体"/>
          <w:color w:val="000000"/>
          <w:sz w:val="24"/>
          <w:highlight w:val="white"/>
          <w:lang w:eastAsia="zh-CN"/>
        </w:rPr>
        <w:t>投标</w:t>
      </w:r>
      <w:r>
        <w:rPr>
          <w:rFonts w:hint="eastAsia" w:ascii="宋体" w:hAnsi="宋体" w:cs="宋体"/>
          <w:color w:val="000000"/>
          <w:sz w:val="24"/>
          <w:highlight w:val="white"/>
        </w:rPr>
        <w:t>文件被误读</w:t>
      </w:r>
      <w:r>
        <w:rPr>
          <w:rFonts w:hint="eastAsia" w:ascii="宋体" w:hAnsi="宋体" w:cs="宋体"/>
          <w:strike w:val="0"/>
          <w:dstrike w:val="0"/>
          <w:color w:val="000000"/>
          <w:sz w:val="24"/>
          <w:highlight w:val="white"/>
        </w:rPr>
        <w:t>或查找不到</w:t>
      </w:r>
      <w:r>
        <w:rPr>
          <w:rFonts w:hint="eastAsia" w:ascii="宋体" w:hAnsi="宋体" w:cs="宋体"/>
          <w:color w:val="000000"/>
          <w:sz w:val="24"/>
          <w:highlight w:val="white"/>
        </w:rPr>
        <w:t>，后果由投标人承担。</w:t>
      </w:r>
    </w:p>
    <w:p w14:paraId="48620609">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2.所附表格中要求回答的全部问题和信息都必须正面回答。</w:t>
      </w:r>
    </w:p>
    <w:p w14:paraId="6B860C05">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3.资格声明文件的签字人应保证全部声明和问题的回答是真实的和准确的。</w:t>
      </w:r>
    </w:p>
    <w:p w14:paraId="3FC030D4">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4.评标委员会将应用投标人提交的资料并根据自己的判断，决定投标人履行合同的合格性及能力。</w:t>
      </w:r>
    </w:p>
    <w:p w14:paraId="6839167C">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5.全部文件应按投标人须知中规定的语言提交。</w:t>
      </w:r>
    </w:p>
    <w:p w14:paraId="405D82DA">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6.以下格式文件为要求填写内容的固定格式，投标人不得擅自修改格式，其他未提供格式的文件和资料由</w:t>
      </w:r>
      <w:r>
        <w:rPr>
          <w:rFonts w:hint="eastAsia" w:ascii="宋体" w:hAnsi="宋体" w:cs="宋体"/>
          <w:color w:val="000000"/>
          <w:sz w:val="24"/>
          <w:highlight w:val="white"/>
          <w:lang w:eastAsia="zh-CN"/>
        </w:rPr>
        <w:t>投标人</w:t>
      </w:r>
      <w:r>
        <w:rPr>
          <w:rFonts w:hint="eastAsia" w:ascii="宋体" w:hAnsi="宋体" w:cs="宋体"/>
          <w:color w:val="000000"/>
          <w:sz w:val="24"/>
          <w:highlight w:val="white"/>
        </w:rPr>
        <w:t>自行设计编制格式填写。</w:t>
      </w:r>
    </w:p>
    <w:p w14:paraId="3293B963">
      <w:pPr>
        <w:adjustRightInd w:val="0"/>
        <w:snapToGrid w:val="0"/>
        <w:spacing w:before="62" w:beforeLines="20" w:after="4" w:line="360" w:lineRule="auto"/>
        <w:ind w:firstLine="422" w:firstLineChars="200"/>
        <w:jc w:val="center"/>
        <w:rPr>
          <w:b/>
          <w:bCs/>
          <w:color w:val="auto"/>
          <w:highlight w:val="none"/>
        </w:rPr>
      </w:pPr>
    </w:p>
    <w:p w14:paraId="3770E9CE">
      <w:pPr>
        <w:ind w:firstLine="422" w:firstLineChars="200"/>
        <w:jc w:val="center"/>
        <w:rPr>
          <w:b/>
          <w:bCs/>
          <w:color w:val="auto"/>
          <w:highlight w:val="none"/>
        </w:rPr>
      </w:pPr>
    </w:p>
    <w:p w14:paraId="22A5E4C8">
      <w:pPr>
        <w:ind w:firstLine="422" w:firstLineChars="200"/>
        <w:jc w:val="center"/>
        <w:rPr>
          <w:b/>
          <w:bCs/>
          <w:color w:val="auto"/>
          <w:highlight w:val="none"/>
        </w:rPr>
      </w:pPr>
    </w:p>
    <w:p w14:paraId="743FCA4E">
      <w:pPr>
        <w:rPr>
          <w:b/>
          <w:bCs/>
          <w:color w:val="auto"/>
          <w:highlight w:val="none"/>
        </w:rPr>
      </w:pPr>
    </w:p>
    <w:p w14:paraId="31C8B6D2">
      <w:pPr>
        <w:adjustRightInd w:val="0"/>
        <w:snapToGrid w:val="0"/>
        <w:spacing w:after="0" w:line="360" w:lineRule="auto"/>
        <w:jc w:val="both"/>
        <w:rPr>
          <w:rFonts w:hint="eastAsia"/>
          <w:b/>
          <w:bCs/>
          <w:color w:val="auto"/>
          <w:highlight w:val="none"/>
        </w:rPr>
      </w:pPr>
      <w:r>
        <w:rPr>
          <w:rFonts w:hint="eastAsia"/>
          <w:b/>
          <w:bCs/>
          <w:color w:val="000000"/>
          <w:highlight w:val="white"/>
        </w:rPr>
        <w:br w:type="page"/>
      </w:r>
    </w:p>
    <w:p w14:paraId="312C120A">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000000"/>
          <w:sz w:val="36"/>
          <w:szCs w:val="36"/>
          <w:highlight w:val="white"/>
        </w:rPr>
        <w:t>投标文件商务部分文件格式</w:t>
      </w:r>
    </w:p>
    <w:p w14:paraId="1978F62F">
      <w:pPr>
        <w:snapToGrid w:val="0"/>
        <w:spacing w:after="0" w:line="360" w:lineRule="auto"/>
        <w:jc w:val="center"/>
        <w:rPr>
          <w:rFonts w:ascii="宋体" w:hAnsi="宋体" w:cs="宋体"/>
          <w:b/>
          <w:bCs/>
          <w:sz w:val="36"/>
          <w:szCs w:val="36"/>
        </w:rPr>
      </w:pPr>
      <w:r>
        <w:rPr>
          <w:rFonts w:hint="eastAsia" w:ascii="宋体" w:hAnsi="宋体" w:cs="宋体"/>
          <w:b/>
          <w:bCs/>
          <w:color w:val="000000"/>
          <w:sz w:val="36"/>
          <w:szCs w:val="36"/>
          <w:highlight w:val="white"/>
        </w:rPr>
        <w:t>格式1 参加本次政府采购活动前三年内在经营活动中</w:t>
      </w:r>
    </w:p>
    <w:p w14:paraId="532A51D2">
      <w:pPr>
        <w:snapToGrid w:val="0"/>
        <w:spacing w:after="0" w:line="360" w:lineRule="auto"/>
        <w:jc w:val="center"/>
        <w:rPr>
          <w:rFonts w:ascii="宋体" w:hAnsi="宋体" w:cs="宋体"/>
          <w:b/>
          <w:bCs/>
          <w:sz w:val="36"/>
          <w:szCs w:val="36"/>
        </w:rPr>
      </w:pPr>
      <w:r>
        <w:rPr>
          <w:rFonts w:hint="eastAsia" w:ascii="宋体" w:hAnsi="宋体" w:cs="宋体"/>
          <w:b/>
          <w:bCs/>
          <w:color w:val="000000"/>
          <w:sz w:val="36"/>
          <w:szCs w:val="36"/>
          <w:highlight w:val="white"/>
        </w:rPr>
        <w:t>没有重大违法记录的书面声明</w:t>
      </w:r>
    </w:p>
    <w:p w14:paraId="379B975D">
      <w:pPr>
        <w:pStyle w:val="18"/>
        <w:topLinePunct/>
        <w:autoSpaceDE w:val="0"/>
        <w:autoSpaceDN w:val="0"/>
        <w:snapToGrid w:val="0"/>
        <w:spacing w:line="360" w:lineRule="auto"/>
        <w:jc w:val="center"/>
        <w:rPr>
          <w:rFonts w:hAnsi="宋体" w:cs="宋体"/>
          <w:b/>
          <w:w w:val="150"/>
          <w:sz w:val="24"/>
        </w:rPr>
      </w:pPr>
    </w:p>
    <w:p w14:paraId="3EBBC17A">
      <w:pPr>
        <w:pStyle w:val="18"/>
        <w:snapToGrid w:val="0"/>
        <w:spacing w:line="360" w:lineRule="auto"/>
        <w:rPr>
          <w:rFonts w:hAnsi="宋体" w:cs="宋体"/>
          <w:sz w:val="24"/>
          <w:szCs w:val="24"/>
        </w:rPr>
      </w:pPr>
      <w:r>
        <w:rPr>
          <w:rFonts w:hint="eastAsia" w:hAnsi="宋体" w:cs="宋体"/>
          <w:color w:val="000000"/>
          <w:sz w:val="24"/>
          <w:szCs w:val="24"/>
          <w:highlight w:val="white"/>
        </w:rPr>
        <w:t>致________（采购人）：</w:t>
      </w:r>
    </w:p>
    <w:p w14:paraId="32889DF3">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我单位在参加本次采购活动前三年内在经营活动中没有《</w:t>
      </w:r>
      <w:r>
        <w:rPr>
          <w:rFonts w:hint="eastAsia" w:hAnsi="宋体" w:cs="宋体"/>
          <w:color w:val="000000"/>
          <w:sz w:val="24"/>
          <w:szCs w:val="24"/>
          <w:highlight w:val="white"/>
          <w:lang w:eastAsia="zh-CN"/>
        </w:rPr>
        <w:t>中华人民共和国</w:t>
      </w:r>
      <w:r>
        <w:rPr>
          <w:rFonts w:hint="eastAsia" w:hAnsi="宋体" w:cs="宋体"/>
          <w:color w:val="000000"/>
          <w:sz w:val="24"/>
          <w:szCs w:val="24"/>
          <w:highlight w:val="white"/>
        </w:rPr>
        <w:t>政府采购法》第二十二条第一款第（五）项所称重大违法记录，包括：</w:t>
      </w:r>
    </w:p>
    <w:p w14:paraId="2B35D917">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我单位未因经营活动中的违法行为受到刑事处罚或者责令停产停业、吊销许可证或者执照、较大数额罚款等行政处罚。</w:t>
      </w:r>
    </w:p>
    <w:p w14:paraId="7C25CDF8">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特此声明！</w:t>
      </w:r>
    </w:p>
    <w:p w14:paraId="6A14D16A">
      <w:pPr>
        <w:snapToGrid w:val="0"/>
        <w:spacing w:after="0" w:line="360" w:lineRule="auto"/>
        <w:ind w:firstLine="420" w:firstLineChars="200"/>
        <w:rPr>
          <w:rFonts w:hAnsi="宋体"/>
        </w:rPr>
      </w:pPr>
    </w:p>
    <w:p w14:paraId="596249E0">
      <w:pPr>
        <w:snapToGrid w:val="0"/>
        <w:spacing w:after="0" w:line="360" w:lineRule="auto"/>
        <w:ind w:firstLine="420" w:firstLineChars="200"/>
        <w:rPr>
          <w:rFonts w:hAnsi="宋体"/>
        </w:rPr>
      </w:pPr>
    </w:p>
    <w:p w14:paraId="782E61E2">
      <w:pPr>
        <w:snapToGrid w:val="0"/>
        <w:spacing w:after="0" w:line="360" w:lineRule="auto"/>
        <w:ind w:firstLine="420" w:firstLineChars="200"/>
        <w:rPr>
          <w:rFonts w:hAnsi="宋体"/>
        </w:rPr>
      </w:pPr>
    </w:p>
    <w:p w14:paraId="72229F1E">
      <w:pPr>
        <w:snapToGrid w:val="0"/>
        <w:spacing w:after="0" w:line="360" w:lineRule="auto"/>
        <w:ind w:firstLine="420" w:firstLineChars="200"/>
        <w:rPr>
          <w:rFonts w:hAnsi="宋体" w:cs="MingLiU_HKSCS"/>
        </w:rPr>
      </w:pPr>
    </w:p>
    <w:p w14:paraId="2DCDA991">
      <w:pPr>
        <w:snapToGrid w:val="0"/>
        <w:spacing w:after="0" w:line="360" w:lineRule="auto"/>
        <w:ind w:firstLine="4080" w:firstLineChars="1700"/>
        <w:rPr>
          <w:rFonts w:hAnsi="宋体" w:cs="宋体"/>
        </w:rPr>
      </w:pPr>
      <w:r>
        <w:rPr>
          <w:rFonts w:hint="eastAsia" w:hAnsi="宋体" w:cs="宋体"/>
          <w:color w:val="000000"/>
          <w:sz w:val="24"/>
          <w:highlight w:val="white"/>
        </w:rPr>
        <w:t>单位名称（电子签章</w:t>
      </w:r>
      <w:r>
        <w:rPr>
          <w:rFonts w:hint="eastAsia" w:hAnsi="宋体" w:cs="宋体"/>
          <w:color w:val="000000"/>
          <w:sz w:val="24"/>
          <w:highlight w:val="white"/>
          <w:lang w:eastAsia="zh-CN"/>
        </w:rPr>
        <w:t>）</w:t>
      </w:r>
      <w:r>
        <w:rPr>
          <w:rFonts w:hint="eastAsia" w:hAnsi="宋体" w:cs="宋体"/>
          <w:color w:val="000000"/>
          <w:sz w:val="24"/>
          <w:highlight w:val="white"/>
        </w:rPr>
        <w:t>：</w:t>
      </w:r>
    </w:p>
    <w:p w14:paraId="507BB551">
      <w:pPr>
        <w:snapToGrid w:val="0"/>
        <w:spacing w:after="0" w:line="360" w:lineRule="auto"/>
        <w:ind w:firstLine="6000" w:firstLineChars="2500"/>
        <w:rPr>
          <w:rFonts w:hAnsi="宋体" w:cs="宋体"/>
        </w:rPr>
      </w:pPr>
      <w:r>
        <w:rPr>
          <w:rFonts w:hint="eastAsia" w:hAnsi="宋体" w:cs="宋体"/>
          <w:color w:val="000000"/>
          <w:sz w:val="24"/>
          <w:highlight w:val="white"/>
        </w:rPr>
        <w:t>日期：</w:t>
      </w:r>
    </w:p>
    <w:p w14:paraId="3267E7DB">
      <w:pPr>
        <w:rPr>
          <w:rFonts w:hint="eastAsia"/>
        </w:rPr>
      </w:pPr>
    </w:p>
    <w:p w14:paraId="0105C9F8">
      <w:pPr>
        <w:spacing w:before="0" w:after="0" w:line="360" w:lineRule="auto"/>
        <w:jc w:val="center"/>
        <w:rPr>
          <w:rFonts w:ascii="宋体" w:hAnsi="宋体" w:eastAsia="宋体" w:cs="宋体"/>
          <w:b/>
          <w:sz w:val="36"/>
        </w:rPr>
      </w:pPr>
      <w:r>
        <w:rPr>
          <w:color w:val="000000"/>
          <w:highlight w:val="white"/>
        </w:rPr>
        <w:br w:type="page"/>
      </w:r>
      <w:r>
        <w:rPr>
          <w:rFonts w:ascii="宋体" w:hAnsi="宋体" w:eastAsia="宋体" w:cs="宋体"/>
          <w:b/>
          <w:color w:val="000000"/>
          <w:sz w:val="36"/>
          <w:highlight w:val="white"/>
        </w:rPr>
        <w:t>格式2 投标报价表</w:t>
      </w:r>
    </w:p>
    <w:p w14:paraId="61F1A637">
      <w:pPr>
        <w:spacing w:before="0" w:after="0" w:line="360" w:lineRule="auto"/>
        <w:jc w:val="center"/>
        <w:rPr>
          <w:rFonts w:ascii="宋体" w:hAnsi="宋体" w:eastAsia="宋体" w:cs="宋体"/>
          <w:b/>
        </w:rPr>
      </w:pPr>
    </w:p>
    <w:p w14:paraId="48F3B663">
      <w:pPr>
        <w:spacing w:before="0" w:after="0" w:line="360" w:lineRule="auto"/>
        <w:jc w:val="center"/>
        <w:rPr>
          <w:rFonts w:ascii="宋体" w:hAnsi="宋体" w:eastAsia="宋体" w:cs="宋体"/>
          <w:b/>
          <w:sz w:val="28"/>
        </w:rPr>
      </w:pPr>
      <w:r>
        <w:rPr>
          <w:rFonts w:ascii="宋体" w:hAnsi="宋体" w:eastAsia="宋体" w:cs="宋体"/>
          <w:b/>
          <w:color w:val="000000"/>
          <w:sz w:val="28"/>
          <w:highlight w:val="white"/>
        </w:rPr>
        <w:t>1.开标一览表（总报价表）</w:t>
      </w:r>
    </w:p>
    <w:p w14:paraId="16D33E03">
      <w:pPr>
        <w:spacing w:before="0" w:after="0" w:line="360" w:lineRule="auto"/>
        <w:jc w:val="right"/>
        <w:rPr>
          <w:rFonts w:ascii="宋体" w:hAnsi="宋体" w:eastAsia="宋体" w:cs="宋体"/>
          <w:b w:val="0"/>
          <w:sz w:val="21"/>
        </w:rPr>
      </w:pPr>
      <w:r>
        <w:rPr>
          <w:rFonts w:ascii="宋体" w:hAnsi="宋体" w:eastAsia="宋体" w:cs="宋体"/>
          <w:b w:val="0"/>
          <w:color w:val="000000"/>
          <w:sz w:val="21"/>
          <w:highlight w:val="white"/>
        </w:rPr>
        <w:t>价格单位：人民币元</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2"/>
        <w:gridCol w:w="4179"/>
        <w:gridCol w:w="1251"/>
        <w:gridCol w:w="1003"/>
        <w:gridCol w:w="1981"/>
      </w:tblGrid>
      <w:tr w14:paraId="6B4C7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14:paraId="3163EDD8">
            <w:pPr>
              <w:spacing w:before="0" w:after="0" w:line="360" w:lineRule="auto"/>
              <w:jc w:val="center"/>
              <w:rPr>
                <w:rFonts w:ascii="宋体" w:hAnsi="宋体" w:eastAsia="宋体" w:cs="宋体"/>
                <w:b/>
              </w:rPr>
            </w:pPr>
            <w:r>
              <w:rPr>
                <w:rFonts w:ascii="宋体" w:hAnsi="宋体" w:eastAsia="宋体" w:cs="宋体"/>
                <w:b/>
                <w:color w:val="000000"/>
                <w:sz w:val="24"/>
                <w:highlight w:val="white"/>
              </w:rPr>
              <w:t>序号</w:t>
            </w:r>
          </w:p>
        </w:tc>
        <w:tc>
          <w:p w14:paraId="31B96BB9">
            <w:pPr>
              <w:spacing w:before="0" w:after="0" w:line="360" w:lineRule="auto"/>
              <w:jc w:val="center"/>
              <w:rPr>
                <w:rFonts w:ascii="宋体" w:hAnsi="宋体" w:eastAsia="宋体" w:cs="宋体"/>
                <w:b/>
              </w:rPr>
            </w:pPr>
            <w:r>
              <w:rPr>
                <w:rFonts w:ascii="宋体" w:hAnsi="宋体" w:eastAsia="宋体" w:cs="宋体"/>
                <w:b/>
                <w:color w:val="000000"/>
                <w:sz w:val="24"/>
                <w:highlight w:val="white"/>
              </w:rPr>
              <w:t>内容</w:t>
            </w:r>
          </w:p>
        </w:tc>
        <w:tc>
          <w:p w14:paraId="3BBA1D46">
            <w:pPr>
              <w:spacing w:before="0" w:after="0" w:line="360" w:lineRule="auto"/>
              <w:jc w:val="center"/>
              <w:rPr>
                <w:rFonts w:ascii="宋体" w:hAnsi="宋体" w:eastAsia="宋体" w:cs="宋体"/>
                <w:b/>
              </w:rPr>
            </w:pPr>
            <w:r>
              <w:rPr>
                <w:rFonts w:ascii="宋体" w:hAnsi="宋体" w:eastAsia="宋体" w:cs="宋体"/>
                <w:b/>
                <w:color w:val="000000"/>
                <w:sz w:val="24"/>
                <w:highlight w:val="white"/>
              </w:rPr>
              <w:t>单价（元）</w:t>
            </w:r>
          </w:p>
        </w:tc>
        <w:tc>
          <w:p w14:paraId="56198D38">
            <w:pPr>
              <w:spacing w:before="0" w:after="0" w:line="360" w:lineRule="auto"/>
              <w:jc w:val="center"/>
              <w:rPr>
                <w:rFonts w:ascii="宋体" w:hAnsi="宋体" w:eastAsia="宋体" w:cs="宋体"/>
                <w:b/>
              </w:rPr>
            </w:pPr>
            <w:r>
              <w:rPr>
                <w:rFonts w:ascii="宋体" w:hAnsi="宋体" w:eastAsia="宋体" w:cs="宋体"/>
                <w:b/>
                <w:color w:val="000000"/>
                <w:sz w:val="24"/>
                <w:highlight w:val="white"/>
              </w:rPr>
              <w:t>数量/权重</w:t>
            </w:r>
          </w:p>
        </w:tc>
        <w:tc>
          <w:p w14:paraId="1F66F384">
            <w:pPr>
              <w:spacing w:before="0" w:after="0" w:line="360" w:lineRule="auto"/>
              <w:jc w:val="center"/>
              <w:rPr>
                <w:rFonts w:ascii="宋体" w:hAnsi="宋体" w:eastAsia="宋体" w:cs="宋体"/>
                <w:b w:val="0"/>
              </w:rPr>
            </w:pPr>
            <w:r>
              <w:rPr>
                <w:rFonts w:ascii="宋体" w:hAnsi="宋体" w:eastAsia="宋体" w:cs="宋体"/>
                <w:b/>
                <w:color w:val="000000"/>
                <w:sz w:val="24"/>
                <w:highlight w:val="white"/>
              </w:rPr>
              <w:t>小计(单价×数量/权重)</w:t>
            </w:r>
          </w:p>
        </w:tc>
      </w:tr>
      <w:tr w14:paraId="30C70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14:paraId="6FF9DDCE">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1</w:t>
            </w:r>
          </w:p>
        </w:tc>
        <w:tc>
          <w:p w14:paraId="5A120DAD">
            <w:pPr>
              <w:spacing w:before="0" w:after="0" w:line="360" w:lineRule="auto"/>
              <w:jc w:val="left"/>
              <w:rPr>
                <w:rFonts w:ascii="宋体" w:hAnsi="宋体" w:eastAsia="宋体" w:cs="宋体"/>
                <w:b w:val="0"/>
              </w:rPr>
            </w:pPr>
            <w:r>
              <w:rPr>
                <w:rFonts w:ascii="宋体" w:hAnsi="宋体" w:eastAsia="宋体" w:cs="宋体"/>
                <w:b w:val="0"/>
                <w:color w:val="000000"/>
                <w:sz w:val="24"/>
                <w:highlight w:val="white"/>
              </w:rPr>
              <w:t>国家税务总局长春市南关区税务局干部职工体检服务项目</w:t>
            </w:r>
          </w:p>
        </w:tc>
        <w:tc>
          <w:p w14:paraId="564A4551">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w:t>
            </w:r>
          </w:p>
        </w:tc>
        <w:tc>
          <w:p w14:paraId="53B99C21">
            <w:pPr>
              <w:spacing w:before="0" w:after="0" w:line="360" w:lineRule="auto"/>
              <w:jc w:val="right"/>
              <w:rPr>
                <w:rFonts w:ascii="宋体" w:hAnsi="宋体" w:eastAsia="宋体" w:cs="宋体"/>
                <w:b w:val="0"/>
              </w:rPr>
            </w:pPr>
            <w:r>
              <w:rPr>
                <w:rFonts w:ascii="宋体" w:hAnsi="宋体" w:eastAsia="宋体" w:cs="宋体"/>
                <w:b w:val="0"/>
                <w:color w:val="000000"/>
                <w:sz w:val="24"/>
                <w:highlight w:val="white"/>
              </w:rPr>
              <w:t>1</w:t>
            </w:r>
          </w:p>
        </w:tc>
        <w:tc>
          <w:p w14:paraId="5DCE7F35">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w:t>
            </w:r>
          </w:p>
        </w:tc>
      </w:tr>
      <w:tr w14:paraId="7C915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tcPr>
          <w:p w14:paraId="0655589C">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报价合计（小写）</w:t>
            </w:r>
          </w:p>
        </w:tc>
        <w:tc>
          <w:tcPr>
            <w:gridSpan w:val="3"/>
          </w:tcPr>
          <w:p w14:paraId="213D5599">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供应商填报后自动计算</w:t>
            </w:r>
          </w:p>
        </w:tc>
      </w:tr>
      <w:tr w14:paraId="630A3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tcPr>
          <w:p w14:paraId="08A1B6D9">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报价合计（大写）</w:t>
            </w:r>
          </w:p>
        </w:tc>
        <w:tc>
          <w:tcPr>
            <w:gridSpan w:val="3"/>
          </w:tcPr>
          <w:p w14:paraId="68C7C1AE">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供应商填报后自动生成中文</w:t>
            </w:r>
          </w:p>
        </w:tc>
      </w:tr>
    </w:tbl>
    <w:p w14:paraId="189134A4">
      <w:pPr>
        <w:spacing w:before="0" w:after="0" w:line="360" w:lineRule="auto"/>
        <w:jc w:val="left"/>
        <w:rPr>
          <w:rFonts w:ascii="宋体" w:hAnsi="宋体" w:eastAsia="宋体" w:cs="宋体"/>
          <w:b w:val="0"/>
          <w:sz w:val="21"/>
        </w:rPr>
      </w:pPr>
    </w:p>
    <w:p w14:paraId="5B1D317B">
      <w:pPr>
        <w:spacing w:before="0" w:after="0" w:line="360" w:lineRule="auto"/>
        <w:jc w:val="left"/>
        <w:rPr>
          <w:rFonts w:ascii="宋体" w:hAnsi="宋体" w:eastAsia="宋体" w:cs="宋体"/>
          <w:b w:val="0"/>
          <w:sz w:val="21"/>
        </w:rPr>
      </w:pPr>
    </w:p>
    <w:p w14:paraId="53F70A9E">
      <w:pPr>
        <w:spacing w:before="0" w:after="0" w:line="360" w:lineRule="auto"/>
        <w:jc w:val="left"/>
        <w:rPr>
          <w:rFonts w:ascii="宋体" w:hAnsi="宋体" w:eastAsia="宋体" w:cs="宋体"/>
          <w:b w:val="0"/>
          <w:sz w:val="21"/>
        </w:rPr>
      </w:pPr>
      <w:r>
        <w:rPr>
          <w:rFonts w:ascii="宋体" w:hAnsi="宋体" w:eastAsia="宋体" w:cs="宋体"/>
          <w:b w:val="0"/>
          <w:color w:val="000000"/>
          <w:sz w:val="21"/>
          <w:highlight w:val="white"/>
        </w:rPr>
        <w:t>特别说明：</w:t>
      </w:r>
    </w:p>
    <w:p w14:paraId="1E9D58CD">
      <w:pPr>
        <w:spacing w:before="0" w:after="0" w:line="360" w:lineRule="auto"/>
        <w:ind w:firstLine="420"/>
        <w:jc w:val="left"/>
        <w:rPr>
          <w:rFonts w:ascii="宋体" w:hAnsi="宋体" w:eastAsia="宋体" w:cs="宋体"/>
          <w:b w:val="0"/>
          <w:sz w:val="21"/>
        </w:rPr>
      </w:pPr>
      <w:r>
        <w:rPr>
          <w:rFonts w:ascii="宋体" w:hAnsi="宋体" w:eastAsia="宋体" w:cs="宋体"/>
          <w:b w:val="0"/>
          <w:color w:val="000000"/>
          <w:sz w:val="21"/>
          <w:highlight w:val="white"/>
        </w:rPr>
        <w:t>本项目不设置价格分，此价格表为本包总报价。</w:t>
      </w:r>
    </w:p>
    <w:p w14:paraId="2E1F5B27">
      <w:pPr>
        <w:spacing w:before="0" w:after="0" w:line="360" w:lineRule="auto"/>
        <w:ind w:firstLine="420"/>
        <w:jc w:val="left"/>
        <w:rPr>
          <w:rFonts w:ascii="宋体" w:hAnsi="宋体" w:eastAsia="宋体" w:cs="宋体"/>
          <w:b w:val="0"/>
          <w:sz w:val="21"/>
        </w:rPr>
      </w:pPr>
    </w:p>
    <w:p w14:paraId="3A61DF07">
      <w:pPr>
        <w:spacing w:before="0" w:after="0" w:line="360" w:lineRule="auto"/>
        <w:ind w:firstLine="480"/>
        <w:jc w:val="left"/>
        <w:rPr>
          <w:rFonts w:ascii="宋体" w:hAnsi="宋体" w:eastAsia="宋体" w:cs="宋体"/>
          <w:b w:val="0"/>
        </w:rPr>
      </w:pPr>
    </w:p>
    <w:p w14:paraId="548EB00F">
      <w:pPr>
        <w:spacing w:before="0" w:after="0" w:line="360" w:lineRule="auto"/>
        <w:ind w:firstLine="480"/>
        <w:jc w:val="left"/>
        <w:rPr>
          <w:rFonts w:ascii="宋体" w:hAnsi="宋体" w:eastAsia="宋体" w:cs="宋体"/>
          <w:b w:val="0"/>
        </w:rPr>
      </w:pPr>
      <w:r>
        <w:rPr>
          <w:rFonts w:ascii="宋体" w:hAnsi="宋体" w:eastAsia="宋体" w:cs="宋体"/>
          <w:b w:val="0"/>
          <w:color w:val="000000"/>
          <w:sz w:val="24"/>
          <w:highlight w:val="white"/>
        </w:rPr>
        <w:t>供应商名称（电子签章）：</w:t>
      </w:r>
    </w:p>
    <w:p w14:paraId="1B5202A7">
      <w:pPr>
        <w:spacing w:before="0" w:after="0" w:line="360" w:lineRule="auto"/>
        <w:ind w:firstLine="480"/>
        <w:jc w:val="left"/>
        <w:rPr>
          <w:rFonts w:ascii="宋体" w:hAnsi="宋体" w:eastAsia="宋体" w:cs="宋体"/>
          <w:b w:val="0"/>
        </w:rPr>
      </w:pPr>
      <w:r>
        <w:rPr>
          <w:rFonts w:ascii="宋体" w:hAnsi="宋体" w:eastAsia="宋体" w:cs="宋体"/>
          <w:b w:val="0"/>
          <w:color w:val="000000"/>
          <w:sz w:val="24"/>
          <w:highlight w:val="white"/>
        </w:rPr>
        <w:t>日期：</w:t>
      </w:r>
    </w:p>
    <w:p w14:paraId="6FE6E3BC">
      <w:pPr>
        <w:spacing w:before="0" w:after="0" w:line="360" w:lineRule="auto"/>
        <w:ind w:firstLine="480"/>
        <w:jc w:val="left"/>
        <w:rPr>
          <w:rFonts w:ascii="宋体" w:hAnsi="宋体" w:eastAsia="宋体" w:cs="宋体"/>
          <w:b w:val="0"/>
        </w:rPr>
      </w:pPr>
    </w:p>
    <w:p w14:paraId="661D03A2">
      <w:pPr>
        <w:spacing w:before="0" w:after="0" w:line="360" w:lineRule="auto"/>
        <w:ind w:firstLine="0"/>
        <w:jc w:val="center"/>
        <w:rPr>
          <w:rFonts w:ascii="宋体" w:hAnsi="宋体" w:eastAsia="宋体" w:cs="宋体"/>
          <w:b/>
          <w:sz w:val="28"/>
        </w:rPr>
      </w:pPr>
      <w:r>
        <w:rPr>
          <w:rFonts w:ascii="宋体" w:hAnsi="宋体" w:eastAsia="宋体" w:cs="宋体"/>
          <w:b w:val="0"/>
          <w:color w:val="000000"/>
          <w:sz w:val="24"/>
          <w:highlight w:val="white"/>
        </w:rPr>
        <w:br w:type="page"/>
      </w:r>
      <w:r>
        <w:rPr>
          <w:rFonts w:ascii="宋体" w:hAnsi="宋体" w:eastAsia="宋体" w:cs="宋体"/>
          <w:b/>
          <w:color w:val="000000"/>
          <w:sz w:val="28"/>
          <w:highlight w:val="white"/>
        </w:rPr>
        <w:t>2.分项报价表</w:t>
      </w:r>
    </w:p>
    <w:p w14:paraId="048C7EDB">
      <w:pPr>
        <w:widowControl w:val="0"/>
        <w:topLinePunct/>
        <w:autoSpaceDE w:val="0"/>
        <w:autoSpaceDN w:val="0"/>
        <w:spacing w:before="0" w:after="0" w:line="460" w:lineRule="exact"/>
        <w:ind w:left="2"/>
        <w:jc w:val="center"/>
        <w:rPr>
          <w:rFonts w:hint="eastAsia" w:ascii="宋体" w:hAnsi="宋体" w:eastAsia="宋体" w:cs="宋体"/>
          <w:b/>
          <w:bCs/>
          <w:sz w:val="28"/>
          <w:szCs w:val="28"/>
          <w:lang w:eastAsia="zh-CN"/>
        </w:rPr>
      </w:pPr>
    </w:p>
    <w:p w14:paraId="1A75C246">
      <w:pPr>
        <w:widowControl w:val="0"/>
        <w:topLinePunct/>
        <w:autoSpaceDE w:val="0"/>
        <w:autoSpaceDN w:val="0"/>
        <w:spacing w:before="0" w:after="0" w:line="460" w:lineRule="exact"/>
        <w:ind w:left="2"/>
        <w:jc w:val="center"/>
        <w:rPr>
          <w:rFonts w:hint="eastAsia" w:ascii="宋体" w:hAnsi="宋体" w:eastAsia="宋体" w:cs="宋体"/>
          <w:b/>
          <w:bCs/>
          <w:sz w:val="28"/>
          <w:szCs w:val="28"/>
          <w:lang w:eastAsia="zh-CN"/>
        </w:rPr>
      </w:pPr>
    </w:p>
    <w:p w14:paraId="008E3D48">
      <w:pPr>
        <w:widowControl w:val="0"/>
        <w:topLinePunct/>
        <w:autoSpaceDE w:val="0"/>
        <w:autoSpaceDN w:val="0"/>
        <w:spacing w:before="0" w:after="0" w:line="460" w:lineRule="exact"/>
        <w:ind w:left="2"/>
        <w:jc w:val="center"/>
        <w:rPr>
          <w:rFonts w:hint="eastAsia" w:ascii="宋体" w:hAnsi="宋体" w:eastAsia="宋体" w:cs="宋体"/>
          <w:b/>
          <w:bCs/>
          <w:sz w:val="28"/>
          <w:szCs w:val="28"/>
          <w:lang w:eastAsia="zh-CN"/>
        </w:rPr>
      </w:pPr>
      <w:r>
        <w:rPr>
          <w:rFonts w:hint="eastAsia" w:ascii="宋体" w:hAnsi="宋体" w:eastAsia="宋体" w:cs="宋体"/>
          <w:b/>
          <w:bCs/>
          <w:color w:val="000000"/>
          <w:sz w:val="28"/>
          <w:szCs w:val="28"/>
          <w:highlight w:val="white"/>
          <w:lang w:eastAsia="zh-CN"/>
        </w:rPr>
        <w:t>分项报价表</w:t>
      </w:r>
    </w:p>
    <w:p w14:paraId="7F512648">
      <w:pPr>
        <w:widowControl w:val="0"/>
        <w:spacing w:before="0" w:after="0" w:line="259" w:lineRule="auto"/>
        <w:ind w:firstLine="420" w:firstLineChars="200"/>
        <w:jc w:val="both"/>
        <w:rPr>
          <w:rFonts w:eastAsia="MingLiU_HKSCS"/>
          <w:sz w:val="20"/>
          <w:szCs w:val="21"/>
          <w:lang w:eastAsia="zh-CN"/>
        </w:rPr>
      </w:pPr>
      <w:r>
        <w:rPr>
          <w:rFonts w:hint="eastAsia" w:eastAsia="宋体"/>
          <w:color w:val="000000"/>
          <w:sz w:val="21"/>
          <w:szCs w:val="21"/>
          <w:highlight w:val="white"/>
          <w:lang w:eastAsia="zh-CN"/>
        </w:rPr>
        <w:t>项目名称：</w:t>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int="eastAsia" w:eastAsia="宋体"/>
          <w:color w:val="000000"/>
          <w:sz w:val="21"/>
          <w:szCs w:val="21"/>
          <w:highlight w:val="white"/>
          <w:lang w:eastAsia="zh-CN"/>
        </w:rPr>
        <w:t>项目编号：　</w:t>
      </w:r>
    </w:p>
    <w:p w14:paraId="27A77870">
      <w:pPr>
        <w:widowControl w:val="0"/>
        <w:spacing w:before="0" w:after="0" w:line="259" w:lineRule="auto"/>
        <w:ind w:firstLine="210" w:firstLineChars="100"/>
        <w:jc w:val="both"/>
        <w:rPr>
          <w:rFonts w:hAnsi="Courier New" w:eastAsia="宋体"/>
          <w:sz w:val="20"/>
          <w:szCs w:val="21"/>
          <w:lang w:eastAsia="zh-CN"/>
        </w:rPr>
      </w:pPr>
      <w:r>
        <w:rPr>
          <w:rFonts w:hint="eastAsia" w:eastAsia="宋体"/>
          <w:color w:val="000000"/>
          <w:sz w:val="21"/>
          <w:szCs w:val="21"/>
          <w:highlight w:val="white"/>
          <w:lang w:eastAsia="zh-CN"/>
        </w:rPr>
        <w:t>　包号：</w:t>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Ansi="Courier New" w:eastAsia="宋体"/>
          <w:color w:val="000000"/>
          <w:sz w:val="21"/>
          <w:szCs w:val="21"/>
          <w:highlight w:val="white"/>
          <w:lang w:eastAsia="zh-CN"/>
        </w:rPr>
        <w:tab/>
      </w:r>
      <w:r>
        <w:rPr>
          <w:rFonts w:hint="eastAsia" w:eastAsia="宋体"/>
          <w:color w:val="000000"/>
          <w:sz w:val="21"/>
          <w:szCs w:val="21"/>
          <w:highlight w:val="white"/>
          <w:lang w:eastAsia="zh-CN"/>
        </w:rPr>
        <w:t>金额单位：元</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0"/>
        <w:gridCol w:w="2545"/>
        <w:gridCol w:w="1903"/>
        <w:gridCol w:w="1539"/>
      </w:tblGrid>
      <w:tr w14:paraId="54E37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0" w:hRule="atLeast"/>
          <w:jc w:val="center"/>
        </w:trPr>
        <w:tc>
          <w:tcPr>
            <w:tcW w:w="960" w:type="dxa"/>
            <w:tcBorders>
              <w:top w:val="single" w:color="auto" w:sz="4" w:space="0"/>
              <w:left w:val="single" w:color="auto" w:sz="4" w:space="0"/>
              <w:bottom w:val="single" w:color="auto" w:sz="4" w:space="0"/>
              <w:right w:val="single" w:color="auto" w:sz="4" w:space="0"/>
              <w:tl2br w:val="nil"/>
              <w:tr2bl w:val="nil"/>
            </w:tcBorders>
            <w:vAlign w:val="center"/>
          </w:tcPr>
          <w:p w14:paraId="525F8429">
            <w:pPr>
              <w:widowControl w:val="0"/>
              <w:spacing w:after="160" w:line="360" w:lineRule="exact"/>
              <w:jc w:val="center"/>
              <w:rPr>
                <w:rFonts w:ascii="宋体" w:eastAsia="宋体"/>
                <w:b/>
                <w:kern w:val="2"/>
                <w:sz w:val="28"/>
                <w:szCs w:val="28"/>
                <w:lang w:eastAsia="zh-CN"/>
              </w:rPr>
            </w:pPr>
            <w:r>
              <w:rPr>
                <w:rFonts w:hint="eastAsia" w:ascii="宋体" w:hAnsi="宋体" w:eastAsia="宋体" w:cs="宋体"/>
                <w:b/>
                <w:color w:val="000000"/>
                <w:kern w:val="2"/>
                <w:sz w:val="28"/>
                <w:szCs w:val="28"/>
                <w:highlight w:val="white"/>
                <w:lang w:eastAsia="zh-CN"/>
              </w:rPr>
              <w:t>序号</w:t>
            </w:r>
          </w:p>
        </w:tc>
        <w:tc>
          <w:tcPr>
            <w:tcW w:w="2545" w:type="dxa"/>
            <w:tcBorders>
              <w:top w:val="single" w:color="auto" w:sz="4" w:space="0"/>
              <w:left w:val="single" w:color="auto" w:sz="4" w:space="0"/>
              <w:bottom w:val="single" w:color="auto" w:sz="4" w:space="0"/>
              <w:right w:val="single" w:color="auto" w:sz="4" w:space="0"/>
              <w:tl2br w:val="nil"/>
              <w:tr2bl w:val="nil"/>
            </w:tcBorders>
            <w:vAlign w:val="center"/>
          </w:tcPr>
          <w:p w14:paraId="70127BDF">
            <w:pPr>
              <w:widowControl w:val="0"/>
              <w:spacing w:after="160" w:line="360" w:lineRule="exact"/>
              <w:jc w:val="center"/>
              <w:rPr>
                <w:rFonts w:ascii="宋体" w:eastAsia="宋体"/>
                <w:b/>
                <w:kern w:val="2"/>
                <w:sz w:val="28"/>
                <w:szCs w:val="28"/>
                <w:lang w:eastAsia="zh-CN"/>
              </w:rPr>
            </w:pPr>
            <w:r>
              <w:rPr>
                <w:rFonts w:hint="eastAsia" w:ascii="宋体" w:hAnsi="宋体" w:eastAsia="宋体"/>
                <w:b/>
                <w:color w:val="000000"/>
                <w:kern w:val="2"/>
                <w:highlight w:val="white"/>
                <w:lang w:eastAsia="zh-CN"/>
              </w:rPr>
              <w:t>体检项目</w:t>
            </w:r>
          </w:p>
        </w:tc>
        <w:tc>
          <w:tcPr>
            <w:tcW w:w="1903" w:type="dxa"/>
            <w:tcBorders>
              <w:top w:val="single" w:color="auto" w:sz="4" w:space="0"/>
              <w:left w:val="single" w:color="auto" w:sz="4" w:space="0"/>
              <w:bottom w:val="single" w:color="auto" w:sz="4" w:space="0"/>
              <w:right w:val="single" w:color="auto" w:sz="4" w:space="0"/>
              <w:tl2br w:val="nil"/>
              <w:tr2bl w:val="nil"/>
            </w:tcBorders>
            <w:vAlign w:val="center"/>
          </w:tcPr>
          <w:p w14:paraId="53A879EF">
            <w:pPr>
              <w:widowControl w:val="0"/>
              <w:spacing w:after="160" w:line="360" w:lineRule="exact"/>
              <w:jc w:val="center"/>
              <w:rPr>
                <w:rFonts w:ascii="宋体" w:eastAsia="宋体"/>
                <w:b/>
                <w:kern w:val="2"/>
                <w:sz w:val="28"/>
                <w:szCs w:val="28"/>
                <w:lang w:eastAsia="zh-CN"/>
              </w:rPr>
            </w:pPr>
            <w:r>
              <w:rPr>
                <w:rFonts w:hint="eastAsia" w:ascii="宋体" w:hAnsi="宋体" w:eastAsia="宋体" w:cs="宋体"/>
                <w:b/>
                <w:color w:val="000000"/>
                <w:kern w:val="2"/>
                <w:sz w:val="28"/>
                <w:szCs w:val="28"/>
                <w:highlight w:val="white"/>
                <w:lang w:eastAsia="zh-CN"/>
              </w:rPr>
              <w:t>报价</w:t>
            </w:r>
          </w:p>
        </w:tc>
        <w:tc>
          <w:tcPr>
            <w:tcW w:w="1539" w:type="dxa"/>
            <w:tcBorders>
              <w:top w:val="single" w:color="auto" w:sz="4" w:space="0"/>
              <w:left w:val="single" w:color="auto" w:sz="4" w:space="0"/>
              <w:bottom w:val="single" w:color="auto" w:sz="4" w:space="0"/>
              <w:right w:val="single" w:color="auto" w:sz="4" w:space="0"/>
              <w:tl2br w:val="nil"/>
              <w:tr2bl w:val="nil"/>
            </w:tcBorders>
            <w:vAlign w:val="center"/>
          </w:tcPr>
          <w:p w14:paraId="728C88D0">
            <w:pPr>
              <w:widowControl w:val="0"/>
              <w:spacing w:after="160" w:line="360" w:lineRule="exact"/>
              <w:jc w:val="center"/>
              <w:rPr>
                <w:rFonts w:ascii="宋体" w:eastAsia="宋体"/>
                <w:b/>
                <w:kern w:val="2"/>
                <w:sz w:val="28"/>
                <w:szCs w:val="28"/>
                <w:lang w:eastAsia="zh-CN"/>
              </w:rPr>
            </w:pPr>
            <w:r>
              <w:rPr>
                <w:rFonts w:hint="eastAsia" w:ascii="宋体" w:hAnsi="宋体" w:eastAsia="宋体" w:cs="宋体"/>
                <w:b/>
                <w:color w:val="000000"/>
                <w:kern w:val="2"/>
                <w:sz w:val="28"/>
                <w:szCs w:val="28"/>
                <w:highlight w:val="white"/>
                <w:lang w:eastAsia="zh-CN"/>
              </w:rPr>
              <w:t>备注</w:t>
            </w:r>
          </w:p>
        </w:tc>
      </w:tr>
      <w:tr w14:paraId="13F49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7" w:hRule="atLeast"/>
          <w:jc w:val="center"/>
        </w:trPr>
        <w:tc>
          <w:tcPr>
            <w:tcW w:w="960" w:type="dxa"/>
            <w:tcBorders>
              <w:top w:val="single" w:color="auto" w:sz="4" w:space="0"/>
              <w:left w:val="single" w:color="auto" w:sz="4" w:space="0"/>
              <w:bottom w:val="single" w:color="auto" w:sz="4" w:space="0"/>
              <w:right w:val="single" w:color="auto" w:sz="4" w:space="0"/>
              <w:tl2br w:val="nil"/>
              <w:tr2bl w:val="nil"/>
            </w:tcBorders>
            <w:vAlign w:val="center"/>
          </w:tcPr>
          <w:p w14:paraId="655105A5">
            <w:pPr>
              <w:widowControl w:val="0"/>
              <w:spacing w:after="160" w:line="360" w:lineRule="exact"/>
              <w:jc w:val="center"/>
              <w:rPr>
                <w:rFonts w:ascii="宋体" w:hAnsi="宋体" w:eastAsia="宋体" w:cs="宋体"/>
                <w:kern w:val="2"/>
                <w:sz w:val="28"/>
                <w:szCs w:val="28"/>
                <w:lang w:eastAsia="zh-CN"/>
              </w:rPr>
            </w:pPr>
            <w:r>
              <w:rPr>
                <w:rFonts w:hint="eastAsia" w:ascii="宋体" w:hAnsi="宋体" w:eastAsia="宋体" w:cs="宋体"/>
                <w:color w:val="000000"/>
                <w:kern w:val="2"/>
                <w:sz w:val="28"/>
                <w:szCs w:val="28"/>
                <w:highlight w:val="white"/>
                <w:lang w:eastAsia="zh-CN"/>
              </w:rPr>
              <w:t>1</w:t>
            </w:r>
          </w:p>
        </w:tc>
        <w:tc>
          <w:tcPr>
            <w:tcW w:w="2545" w:type="dxa"/>
            <w:tcBorders>
              <w:top w:val="single" w:color="auto" w:sz="4" w:space="0"/>
              <w:left w:val="single" w:color="auto" w:sz="4" w:space="0"/>
              <w:bottom w:val="single" w:color="auto" w:sz="4" w:space="0"/>
              <w:right w:val="single" w:color="auto" w:sz="4" w:space="0"/>
              <w:tl2br w:val="nil"/>
              <w:tr2bl w:val="nil"/>
            </w:tcBorders>
            <w:vAlign w:val="center"/>
          </w:tcPr>
          <w:p w14:paraId="4BDB8431">
            <w:pPr>
              <w:widowControl w:val="0"/>
              <w:spacing w:after="160" w:line="360" w:lineRule="exact"/>
              <w:jc w:val="center"/>
              <w:rPr>
                <w:rFonts w:ascii="宋体" w:eastAsia="宋体"/>
                <w:kern w:val="2"/>
                <w:sz w:val="28"/>
                <w:szCs w:val="28"/>
                <w:lang w:eastAsia="zh-CN"/>
              </w:rPr>
            </w:pPr>
            <w:r>
              <w:rPr>
                <w:rFonts w:hint="eastAsia" w:ascii="宋体" w:eastAsia="宋体"/>
                <w:color w:val="000000"/>
                <w:kern w:val="2"/>
                <w:sz w:val="28"/>
                <w:szCs w:val="28"/>
                <w:highlight w:val="white"/>
                <w:lang w:eastAsia="zh-CN"/>
              </w:rPr>
              <w:t>...</w:t>
            </w:r>
          </w:p>
        </w:tc>
        <w:tc>
          <w:tcPr>
            <w:tcW w:w="1903" w:type="dxa"/>
            <w:tcBorders>
              <w:top w:val="single" w:color="auto" w:sz="4" w:space="0"/>
              <w:left w:val="single" w:color="auto" w:sz="4" w:space="0"/>
              <w:bottom w:val="single" w:color="auto" w:sz="4" w:space="0"/>
              <w:right w:val="single" w:color="auto" w:sz="4" w:space="0"/>
              <w:tl2br w:val="nil"/>
              <w:tr2bl w:val="nil"/>
            </w:tcBorders>
          </w:tcPr>
          <w:p w14:paraId="4A65A532">
            <w:pPr>
              <w:widowControl w:val="0"/>
              <w:spacing w:after="160" w:line="360" w:lineRule="exact"/>
              <w:jc w:val="both"/>
              <w:rPr>
                <w:rFonts w:ascii="宋体" w:eastAsia="宋体"/>
                <w:kern w:val="2"/>
                <w:sz w:val="28"/>
                <w:szCs w:val="28"/>
                <w:lang w:eastAsia="zh-CN"/>
              </w:rPr>
            </w:pPr>
          </w:p>
        </w:tc>
        <w:tc>
          <w:tcPr>
            <w:tcW w:w="1539" w:type="dxa"/>
            <w:tcBorders>
              <w:top w:val="single" w:color="auto" w:sz="4" w:space="0"/>
              <w:left w:val="single" w:color="auto" w:sz="4" w:space="0"/>
              <w:bottom w:val="single" w:color="auto" w:sz="4" w:space="0"/>
              <w:right w:val="single" w:color="auto" w:sz="4" w:space="0"/>
              <w:tl2br w:val="nil"/>
              <w:tr2bl w:val="nil"/>
            </w:tcBorders>
          </w:tcPr>
          <w:p w14:paraId="57834EE2">
            <w:pPr>
              <w:widowControl w:val="0"/>
              <w:spacing w:after="160" w:line="360" w:lineRule="exact"/>
              <w:jc w:val="both"/>
              <w:rPr>
                <w:rFonts w:ascii="宋体" w:eastAsia="宋体"/>
                <w:kern w:val="2"/>
                <w:sz w:val="28"/>
                <w:szCs w:val="28"/>
                <w:lang w:eastAsia="zh-CN"/>
              </w:rPr>
            </w:pPr>
          </w:p>
        </w:tc>
      </w:tr>
      <w:tr w14:paraId="4B062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atLeast"/>
          <w:jc w:val="center"/>
        </w:trPr>
        <w:tc>
          <w:tcPr>
            <w:tcW w:w="960" w:type="dxa"/>
            <w:tcBorders>
              <w:top w:val="single" w:color="auto" w:sz="4" w:space="0"/>
              <w:left w:val="single" w:color="auto" w:sz="4" w:space="0"/>
              <w:bottom w:val="single" w:color="auto" w:sz="4" w:space="0"/>
              <w:right w:val="single" w:color="auto" w:sz="4" w:space="0"/>
              <w:tl2br w:val="nil"/>
              <w:tr2bl w:val="nil"/>
            </w:tcBorders>
            <w:vAlign w:val="center"/>
          </w:tcPr>
          <w:p w14:paraId="51CBB2DD">
            <w:pPr>
              <w:widowControl w:val="0"/>
              <w:spacing w:after="160" w:line="360" w:lineRule="exact"/>
              <w:jc w:val="center"/>
              <w:rPr>
                <w:rFonts w:ascii="宋体" w:hAnsi="宋体" w:eastAsia="宋体" w:cs="宋体"/>
                <w:kern w:val="2"/>
                <w:sz w:val="28"/>
                <w:szCs w:val="28"/>
                <w:lang w:eastAsia="zh-CN"/>
              </w:rPr>
            </w:pPr>
            <w:r>
              <w:rPr>
                <w:rFonts w:hint="eastAsia" w:ascii="宋体" w:hAnsi="宋体" w:eastAsia="宋体" w:cs="宋体"/>
                <w:color w:val="000000"/>
                <w:kern w:val="2"/>
                <w:sz w:val="28"/>
                <w:szCs w:val="28"/>
                <w:highlight w:val="white"/>
                <w:lang w:eastAsia="zh-CN"/>
              </w:rPr>
              <w:t>2</w:t>
            </w:r>
          </w:p>
        </w:tc>
        <w:tc>
          <w:tcPr>
            <w:tcW w:w="2545" w:type="dxa"/>
            <w:tcBorders>
              <w:top w:val="single" w:color="auto" w:sz="4" w:space="0"/>
              <w:left w:val="single" w:color="auto" w:sz="4" w:space="0"/>
              <w:bottom w:val="single" w:color="auto" w:sz="4" w:space="0"/>
              <w:right w:val="single" w:color="auto" w:sz="4" w:space="0"/>
              <w:tl2br w:val="nil"/>
              <w:tr2bl w:val="nil"/>
            </w:tcBorders>
            <w:vAlign w:val="center"/>
          </w:tcPr>
          <w:p w14:paraId="653D3EFD">
            <w:pPr>
              <w:widowControl w:val="0"/>
              <w:spacing w:after="160" w:line="360" w:lineRule="exact"/>
              <w:jc w:val="center"/>
              <w:rPr>
                <w:rFonts w:ascii="宋体" w:eastAsia="宋体"/>
                <w:kern w:val="2"/>
                <w:sz w:val="28"/>
                <w:szCs w:val="28"/>
                <w:lang w:eastAsia="zh-CN"/>
              </w:rPr>
            </w:pPr>
          </w:p>
        </w:tc>
        <w:tc>
          <w:tcPr>
            <w:tcW w:w="1903" w:type="dxa"/>
            <w:tcBorders>
              <w:top w:val="single" w:color="auto" w:sz="4" w:space="0"/>
              <w:left w:val="single" w:color="auto" w:sz="4" w:space="0"/>
              <w:bottom w:val="single" w:color="auto" w:sz="4" w:space="0"/>
              <w:right w:val="single" w:color="auto" w:sz="4" w:space="0"/>
              <w:tl2br w:val="nil"/>
              <w:tr2bl w:val="nil"/>
            </w:tcBorders>
          </w:tcPr>
          <w:p w14:paraId="68713A1B">
            <w:pPr>
              <w:widowControl w:val="0"/>
              <w:spacing w:after="160" w:line="360" w:lineRule="exact"/>
              <w:jc w:val="both"/>
              <w:rPr>
                <w:rFonts w:ascii="宋体" w:eastAsia="宋体"/>
                <w:kern w:val="2"/>
                <w:sz w:val="28"/>
                <w:szCs w:val="28"/>
                <w:lang w:eastAsia="zh-CN"/>
              </w:rPr>
            </w:pPr>
          </w:p>
        </w:tc>
        <w:tc>
          <w:tcPr>
            <w:tcW w:w="1539" w:type="dxa"/>
            <w:tcBorders>
              <w:top w:val="single" w:color="auto" w:sz="4" w:space="0"/>
              <w:left w:val="single" w:color="auto" w:sz="4" w:space="0"/>
              <w:bottom w:val="single" w:color="auto" w:sz="4" w:space="0"/>
              <w:right w:val="single" w:color="auto" w:sz="4" w:space="0"/>
              <w:tl2br w:val="nil"/>
              <w:tr2bl w:val="nil"/>
            </w:tcBorders>
          </w:tcPr>
          <w:p w14:paraId="1172336A">
            <w:pPr>
              <w:widowControl w:val="0"/>
              <w:spacing w:after="160" w:line="360" w:lineRule="exact"/>
              <w:jc w:val="both"/>
              <w:rPr>
                <w:rFonts w:ascii="宋体" w:eastAsia="宋体"/>
                <w:kern w:val="2"/>
                <w:sz w:val="28"/>
                <w:szCs w:val="28"/>
                <w:lang w:eastAsia="zh-CN"/>
              </w:rPr>
            </w:pPr>
          </w:p>
        </w:tc>
      </w:tr>
      <w:tr w14:paraId="4FA6A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jc w:val="center"/>
        </w:trPr>
        <w:tc>
          <w:tcPr>
            <w:tcW w:w="960" w:type="dxa"/>
            <w:tcBorders>
              <w:top w:val="single" w:color="auto" w:sz="4" w:space="0"/>
              <w:left w:val="single" w:color="auto" w:sz="4" w:space="0"/>
              <w:bottom w:val="single" w:color="auto" w:sz="4" w:space="0"/>
              <w:right w:val="single" w:color="auto" w:sz="4" w:space="0"/>
              <w:tl2br w:val="nil"/>
              <w:tr2bl w:val="nil"/>
            </w:tcBorders>
            <w:vAlign w:val="center"/>
          </w:tcPr>
          <w:p w14:paraId="69D27B77">
            <w:pPr>
              <w:widowControl w:val="0"/>
              <w:spacing w:after="160" w:line="360" w:lineRule="exact"/>
              <w:jc w:val="center"/>
              <w:rPr>
                <w:rFonts w:ascii="宋体" w:hAnsi="宋体" w:eastAsia="宋体" w:cs="宋体"/>
                <w:kern w:val="2"/>
                <w:sz w:val="28"/>
                <w:szCs w:val="28"/>
                <w:lang w:eastAsia="zh-CN"/>
              </w:rPr>
            </w:pPr>
            <w:r>
              <w:rPr>
                <w:rFonts w:hint="eastAsia" w:ascii="宋体" w:hAnsi="宋体" w:eastAsia="宋体" w:cs="宋体"/>
                <w:color w:val="000000"/>
                <w:kern w:val="2"/>
                <w:sz w:val="28"/>
                <w:szCs w:val="28"/>
                <w:highlight w:val="white"/>
                <w:lang w:eastAsia="zh-CN"/>
              </w:rPr>
              <w:t>3</w:t>
            </w:r>
          </w:p>
        </w:tc>
        <w:tc>
          <w:tcPr>
            <w:tcW w:w="2545" w:type="dxa"/>
            <w:tcBorders>
              <w:top w:val="single" w:color="auto" w:sz="4" w:space="0"/>
              <w:left w:val="single" w:color="auto" w:sz="4" w:space="0"/>
              <w:bottom w:val="single" w:color="auto" w:sz="4" w:space="0"/>
              <w:right w:val="single" w:color="auto" w:sz="4" w:space="0"/>
              <w:tl2br w:val="nil"/>
              <w:tr2bl w:val="nil"/>
            </w:tcBorders>
            <w:vAlign w:val="center"/>
          </w:tcPr>
          <w:p w14:paraId="0C60B080">
            <w:pPr>
              <w:widowControl w:val="0"/>
              <w:spacing w:after="160" w:line="360" w:lineRule="exact"/>
              <w:jc w:val="center"/>
              <w:rPr>
                <w:rFonts w:ascii="宋体" w:eastAsia="宋体"/>
                <w:kern w:val="2"/>
                <w:sz w:val="28"/>
                <w:szCs w:val="28"/>
                <w:lang w:eastAsia="zh-CN"/>
              </w:rPr>
            </w:pPr>
          </w:p>
        </w:tc>
        <w:tc>
          <w:tcPr>
            <w:tcW w:w="1903" w:type="dxa"/>
            <w:tcBorders>
              <w:top w:val="single" w:color="auto" w:sz="4" w:space="0"/>
              <w:left w:val="single" w:color="auto" w:sz="4" w:space="0"/>
              <w:bottom w:val="single" w:color="auto" w:sz="4" w:space="0"/>
              <w:right w:val="single" w:color="auto" w:sz="4" w:space="0"/>
              <w:tl2br w:val="nil"/>
              <w:tr2bl w:val="nil"/>
            </w:tcBorders>
          </w:tcPr>
          <w:p w14:paraId="7C844C89">
            <w:pPr>
              <w:widowControl w:val="0"/>
              <w:spacing w:after="160" w:line="360" w:lineRule="exact"/>
              <w:jc w:val="both"/>
              <w:rPr>
                <w:rFonts w:ascii="宋体" w:eastAsia="宋体"/>
                <w:kern w:val="2"/>
                <w:sz w:val="28"/>
                <w:szCs w:val="28"/>
                <w:lang w:eastAsia="zh-CN"/>
              </w:rPr>
            </w:pPr>
          </w:p>
        </w:tc>
        <w:tc>
          <w:tcPr>
            <w:tcW w:w="1539" w:type="dxa"/>
            <w:tcBorders>
              <w:top w:val="single" w:color="auto" w:sz="4" w:space="0"/>
              <w:left w:val="single" w:color="auto" w:sz="4" w:space="0"/>
              <w:bottom w:val="single" w:color="auto" w:sz="4" w:space="0"/>
              <w:right w:val="single" w:color="auto" w:sz="4" w:space="0"/>
              <w:tl2br w:val="nil"/>
              <w:tr2bl w:val="nil"/>
            </w:tcBorders>
          </w:tcPr>
          <w:p w14:paraId="48FBB9A4">
            <w:pPr>
              <w:widowControl w:val="0"/>
              <w:spacing w:after="160" w:line="360" w:lineRule="exact"/>
              <w:jc w:val="both"/>
              <w:rPr>
                <w:rFonts w:ascii="宋体" w:eastAsia="宋体"/>
                <w:kern w:val="2"/>
                <w:sz w:val="28"/>
                <w:szCs w:val="28"/>
                <w:lang w:eastAsia="zh-CN"/>
              </w:rPr>
            </w:pPr>
          </w:p>
        </w:tc>
      </w:tr>
      <w:tr w14:paraId="5EDC4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6" w:hRule="atLeast"/>
          <w:jc w:val="center"/>
        </w:trPr>
        <w:tc>
          <w:tcPr>
            <w:tcW w:w="960" w:type="dxa"/>
            <w:tcBorders>
              <w:top w:val="single" w:color="auto" w:sz="4" w:space="0"/>
              <w:left w:val="single" w:color="auto" w:sz="4" w:space="0"/>
              <w:bottom w:val="single" w:color="auto" w:sz="4" w:space="0"/>
              <w:right w:val="single" w:color="auto" w:sz="4" w:space="0"/>
              <w:tl2br w:val="nil"/>
              <w:tr2bl w:val="nil"/>
            </w:tcBorders>
            <w:vAlign w:val="center"/>
          </w:tcPr>
          <w:p w14:paraId="13CA97E4">
            <w:pPr>
              <w:widowControl w:val="0"/>
              <w:spacing w:after="160" w:line="360" w:lineRule="exact"/>
              <w:jc w:val="center"/>
              <w:rPr>
                <w:rFonts w:ascii="宋体" w:hAnsi="宋体" w:eastAsia="宋体" w:cs="宋体"/>
                <w:kern w:val="2"/>
                <w:sz w:val="28"/>
                <w:szCs w:val="28"/>
                <w:lang w:eastAsia="zh-CN"/>
              </w:rPr>
            </w:pPr>
            <w:r>
              <w:rPr>
                <w:rFonts w:hint="eastAsia" w:ascii="宋体" w:hAnsi="宋体" w:eastAsia="宋体" w:cs="宋体"/>
                <w:color w:val="000000"/>
                <w:kern w:val="2"/>
                <w:sz w:val="28"/>
                <w:szCs w:val="28"/>
                <w:highlight w:val="white"/>
                <w:lang w:eastAsia="zh-CN"/>
              </w:rPr>
              <w:t>4</w:t>
            </w:r>
          </w:p>
        </w:tc>
        <w:tc>
          <w:tcPr>
            <w:tcW w:w="2545" w:type="dxa"/>
            <w:tcBorders>
              <w:top w:val="single" w:color="auto" w:sz="4" w:space="0"/>
              <w:left w:val="single" w:color="auto" w:sz="4" w:space="0"/>
              <w:bottom w:val="single" w:color="auto" w:sz="4" w:space="0"/>
              <w:right w:val="single" w:color="auto" w:sz="4" w:space="0"/>
              <w:tl2br w:val="nil"/>
              <w:tr2bl w:val="nil"/>
            </w:tcBorders>
            <w:vAlign w:val="center"/>
          </w:tcPr>
          <w:p w14:paraId="2610D24D">
            <w:pPr>
              <w:widowControl w:val="0"/>
              <w:spacing w:after="160" w:line="360" w:lineRule="exact"/>
              <w:jc w:val="center"/>
              <w:rPr>
                <w:rFonts w:ascii="宋体" w:eastAsia="宋体"/>
                <w:kern w:val="2"/>
                <w:sz w:val="28"/>
                <w:szCs w:val="28"/>
                <w:lang w:eastAsia="zh-CN"/>
              </w:rPr>
            </w:pPr>
          </w:p>
        </w:tc>
        <w:tc>
          <w:tcPr>
            <w:tcW w:w="1903" w:type="dxa"/>
            <w:tcBorders>
              <w:top w:val="single" w:color="auto" w:sz="4" w:space="0"/>
              <w:left w:val="single" w:color="auto" w:sz="4" w:space="0"/>
              <w:bottom w:val="single" w:color="auto" w:sz="4" w:space="0"/>
              <w:right w:val="single" w:color="auto" w:sz="4" w:space="0"/>
              <w:tl2br w:val="nil"/>
              <w:tr2bl w:val="nil"/>
            </w:tcBorders>
          </w:tcPr>
          <w:p w14:paraId="4BE921FC">
            <w:pPr>
              <w:widowControl w:val="0"/>
              <w:spacing w:after="160" w:line="360" w:lineRule="exact"/>
              <w:jc w:val="both"/>
              <w:rPr>
                <w:rFonts w:ascii="宋体" w:eastAsia="宋体"/>
                <w:kern w:val="2"/>
                <w:sz w:val="28"/>
                <w:szCs w:val="28"/>
                <w:lang w:eastAsia="zh-CN"/>
              </w:rPr>
            </w:pPr>
          </w:p>
        </w:tc>
        <w:tc>
          <w:tcPr>
            <w:tcW w:w="1539" w:type="dxa"/>
            <w:tcBorders>
              <w:top w:val="single" w:color="auto" w:sz="4" w:space="0"/>
              <w:left w:val="single" w:color="auto" w:sz="4" w:space="0"/>
              <w:bottom w:val="single" w:color="auto" w:sz="4" w:space="0"/>
              <w:right w:val="single" w:color="auto" w:sz="4" w:space="0"/>
              <w:tl2br w:val="nil"/>
              <w:tr2bl w:val="nil"/>
            </w:tcBorders>
          </w:tcPr>
          <w:p w14:paraId="59729234">
            <w:pPr>
              <w:widowControl w:val="0"/>
              <w:spacing w:after="160" w:line="360" w:lineRule="exact"/>
              <w:jc w:val="both"/>
              <w:rPr>
                <w:rFonts w:ascii="宋体" w:eastAsia="宋体"/>
                <w:kern w:val="2"/>
                <w:sz w:val="28"/>
                <w:szCs w:val="28"/>
                <w:lang w:eastAsia="zh-CN"/>
              </w:rPr>
            </w:pPr>
          </w:p>
        </w:tc>
      </w:tr>
      <w:tr w14:paraId="78115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6" w:hRule="atLeast"/>
          <w:jc w:val="center"/>
        </w:trPr>
        <w:tc>
          <w:tcPr>
            <w:tcW w:w="960" w:type="dxa"/>
            <w:tcBorders>
              <w:top w:val="single" w:color="auto" w:sz="4" w:space="0"/>
              <w:left w:val="single" w:color="auto" w:sz="4" w:space="0"/>
              <w:bottom w:val="single" w:color="auto" w:sz="4" w:space="0"/>
              <w:right w:val="single" w:color="auto" w:sz="4" w:space="0"/>
              <w:tl2br w:val="nil"/>
              <w:tr2bl w:val="nil"/>
            </w:tcBorders>
            <w:vAlign w:val="center"/>
          </w:tcPr>
          <w:p w14:paraId="0106CD01">
            <w:pPr>
              <w:widowControl w:val="0"/>
              <w:spacing w:after="160" w:line="360" w:lineRule="exact"/>
              <w:jc w:val="center"/>
              <w:rPr>
                <w:rFonts w:ascii="宋体" w:hAnsi="宋体" w:eastAsia="宋体" w:cs="宋体"/>
                <w:kern w:val="2"/>
                <w:sz w:val="28"/>
                <w:szCs w:val="28"/>
                <w:lang w:eastAsia="zh-CN"/>
              </w:rPr>
            </w:pPr>
            <w:r>
              <w:rPr>
                <w:rFonts w:hint="eastAsia" w:ascii="宋体" w:hAnsi="宋体" w:eastAsia="宋体" w:cs="宋体"/>
                <w:color w:val="000000"/>
                <w:kern w:val="2"/>
                <w:sz w:val="28"/>
                <w:szCs w:val="28"/>
                <w:highlight w:val="white"/>
                <w:lang w:eastAsia="zh-CN"/>
              </w:rPr>
              <w:t>5</w:t>
            </w:r>
          </w:p>
        </w:tc>
        <w:tc>
          <w:tcPr>
            <w:tcW w:w="2545" w:type="dxa"/>
            <w:tcBorders>
              <w:top w:val="single" w:color="auto" w:sz="4" w:space="0"/>
              <w:left w:val="single" w:color="auto" w:sz="4" w:space="0"/>
              <w:bottom w:val="single" w:color="auto" w:sz="4" w:space="0"/>
              <w:right w:val="single" w:color="auto" w:sz="4" w:space="0"/>
              <w:tl2br w:val="nil"/>
              <w:tr2bl w:val="nil"/>
            </w:tcBorders>
            <w:vAlign w:val="center"/>
          </w:tcPr>
          <w:p w14:paraId="1FACE0C3">
            <w:pPr>
              <w:widowControl w:val="0"/>
              <w:spacing w:after="160" w:line="360" w:lineRule="exact"/>
              <w:jc w:val="center"/>
              <w:rPr>
                <w:rFonts w:ascii="宋体" w:eastAsia="宋体"/>
                <w:kern w:val="2"/>
                <w:sz w:val="28"/>
                <w:szCs w:val="28"/>
                <w:lang w:eastAsia="zh-CN"/>
              </w:rPr>
            </w:pPr>
          </w:p>
        </w:tc>
        <w:tc>
          <w:tcPr>
            <w:tcW w:w="1903" w:type="dxa"/>
            <w:tcBorders>
              <w:top w:val="single" w:color="auto" w:sz="4" w:space="0"/>
              <w:left w:val="single" w:color="auto" w:sz="4" w:space="0"/>
              <w:bottom w:val="single" w:color="auto" w:sz="4" w:space="0"/>
              <w:right w:val="single" w:color="auto" w:sz="4" w:space="0"/>
              <w:tl2br w:val="nil"/>
              <w:tr2bl w:val="nil"/>
            </w:tcBorders>
          </w:tcPr>
          <w:p w14:paraId="35E5285A">
            <w:pPr>
              <w:widowControl w:val="0"/>
              <w:spacing w:after="160" w:line="360" w:lineRule="exact"/>
              <w:jc w:val="both"/>
              <w:rPr>
                <w:rFonts w:ascii="宋体" w:eastAsia="宋体"/>
                <w:kern w:val="2"/>
                <w:sz w:val="28"/>
                <w:szCs w:val="28"/>
                <w:lang w:eastAsia="zh-CN"/>
              </w:rPr>
            </w:pPr>
          </w:p>
        </w:tc>
        <w:tc>
          <w:tcPr>
            <w:tcW w:w="1539" w:type="dxa"/>
            <w:tcBorders>
              <w:top w:val="single" w:color="auto" w:sz="4" w:space="0"/>
              <w:left w:val="single" w:color="auto" w:sz="4" w:space="0"/>
              <w:bottom w:val="single" w:color="auto" w:sz="4" w:space="0"/>
              <w:right w:val="single" w:color="auto" w:sz="4" w:space="0"/>
              <w:tl2br w:val="nil"/>
              <w:tr2bl w:val="nil"/>
            </w:tcBorders>
          </w:tcPr>
          <w:p w14:paraId="78ACC9B7">
            <w:pPr>
              <w:widowControl w:val="0"/>
              <w:spacing w:after="160" w:line="360" w:lineRule="exact"/>
              <w:jc w:val="both"/>
              <w:rPr>
                <w:rFonts w:ascii="宋体" w:eastAsia="宋体"/>
                <w:kern w:val="2"/>
                <w:sz w:val="28"/>
                <w:szCs w:val="28"/>
                <w:lang w:eastAsia="zh-CN"/>
              </w:rPr>
            </w:pPr>
          </w:p>
        </w:tc>
      </w:tr>
      <w:tr w14:paraId="59007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6" w:hRule="atLeast"/>
          <w:jc w:val="center"/>
        </w:trPr>
        <w:tc>
          <w:tcPr>
            <w:tcW w:w="960" w:type="dxa"/>
            <w:tcBorders>
              <w:top w:val="single" w:color="auto" w:sz="4" w:space="0"/>
              <w:left w:val="single" w:color="auto" w:sz="4" w:space="0"/>
              <w:bottom w:val="single" w:color="auto" w:sz="4" w:space="0"/>
              <w:right w:val="single" w:color="auto" w:sz="4" w:space="0"/>
              <w:tl2br w:val="nil"/>
              <w:tr2bl w:val="nil"/>
            </w:tcBorders>
            <w:vAlign w:val="center"/>
          </w:tcPr>
          <w:p w14:paraId="0B78BC0B">
            <w:pPr>
              <w:widowControl w:val="0"/>
              <w:spacing w:after="160" w:line="360" w:lineRule="exact"/>
              <w:jc w:val="center"/>
              <w:rPr>
                <w:rFonts w:ascii="宋体" w:hAnsi="宋体" w:eastAsia="宋体" w:cs="宋体"/>
                <w:kern w:val="2"/>
                <w:sz w:val="28"/>
                <w:szCs w:val="28"/>
                <w:lang w:eastAsia="zh-CN"/>
              </w:rPr>
            </w:pPr>
            <w:r>
              <w:rPr>
                <w:rFonts w:hint="eastAsia" w:ascii="宋体" w:hAnsi="宋体" w:eastAsia="宋体" w:cs="宋体"/>
                <w:color w:val="000000"/>
                <w:kern w:val="2"/>
                <w:sz w:val="28"/>
                <w:szCs w:val="28"/>
                <w:highlight w:val="white"/>
                <w:lang w:eastAsia="zh-CN"/>
              </w:rPr>
              <w:t>6</w:t>
            </w:r>
          </w:p>
        </w:tc>
        <w:tc>
          <w:tcPr>
            <w:tcW w:w="2545" w:type="dxa"/>
            <w:tcBorders>
              <w:top w:val="single" w:color="auto" w:sz="4" w:space="0"/>
              <w:left w:val="single" w:color="auto" w:sz="4" w:space="0"/>
              <w:bottom w:val="single" w:color="auto" w:sz="4" w:space="0"/>
              <w:right w:val="single" w:color="auto" w:sz="4" w:space="0"/>
              <w:tl2br w:val="nil"/>
              <w:tr2bl w:val="nil"/>
            </w:tcBorders>
            <w:vAlign w:val="center"/>
          </w:tcPr>
          <w:p w14:paraId="0CC9D663">
            <w:pPr>
              <w:widowControl w:val="0"/>
              <w:spacing w:after="160" w:line="360" w:lineRule="exact"/>
              <w:jc w:val="center"/>
              <w:rPr>
                <w:rFonts w:ascii="宋体" w:eastAsia="宋体"/>
                <w:kern w:val="2"/>
                <w:sz w:val="28"/>
                <w:szCs w:val="28"/>
                <w:lang w:eastAsia="zh-CN"/>
              </w:rPr>
            </w:pPr>
          </w:p>
        </w:tc>
        <w:tc>
          <w:tcPr>
            <w:tcW w:w="1903" w:type="dxa"/>
            <w:tcBorders>
              <w:top w:val="single" w:color="auto" w:sz="4" w:space="0"/>
              <w:left w:val="single" w:color="auto" w:sz="4" w:space="0"/>
              <w:bottom w:val="single" w:color="auto" w:sz="4" w:space="0"/>
              <w:right w:val="single" w:color="auto" w:sz="4" w:space="0"/>
              <w:tl2br w:val="nil"/>
              <w:tr2bl w:val="nil"/>
            </w:tcBorders>
          </w:tcPr>
          <w:p w14:paraId="74097CAD">
            <w:pPr>
              <w:widowControl w:val="0"/>
              <w:spacing w:after="160" w:line="360" w:lineRule="exact"/>
              <w:jc w:val="both"/>
              <w:rPr>
                <w:rFonts w:ascii="宋体" w:eastAsia="宋体"/>
                <w:kern w:val="2"/>
                <w:sz w:val="28"/>
                <w:szCs w:val="28"/>
                <w:lang w:eastAsia="zh-CN"/>
              </w:rPr>
            </w:pPr>
          </w:p>
        </w:tc>
        <w:tc>
          <w:tcPr>
            <w:tcW w:w="1539" w:type="dxa"/>
            <w:tcBorders>
              <w:top w:val="single" w:color="auto" w:sz="4" w:space="0"/>
              <w:left w:val="single" w:color="auto" w:sz="4" w:space="0"/>
              <w:bottom w:val="single" w:color="auto" w:sz="4" w:space="0"/>
              <w:right w:val="single" w:color="auto" w:sz="4" w:space="0"/>
              <w:tl2br w:val="nil"/>
              <w:tr2bl w:val="nil"/>
            </w:tcBorders>
          </w:tcPr>
          <w:p w14:paraId="5799A8D3">
            <w:pPr>
              <w:widowControl w:val="0"/>
              <w:spacing w:after="160" w:line="360" w:lineRule="exact"/>
              <w:jc w:val="both"/>
              <w:rPr>
                <w:rFonts w:ascii="宋体" w:eastAsia="宋体"/>
                <w:kern w:val="2"/>
                <w:sz w:val="28"/>
                <w:szCs w:val="28"/>
                <w:lang w:eastAsia="zh-CN"/>
              </w:rPr>
            </w:pPr>
          </w:p>
        </w:tc>
      </w:tr>
      <w:tr w14:paraId="06F00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6" w:hRule="atLeast"/>
          <w:jc w:val="center"/>
        </w:trPr>
        <w:tc>
          <w:tcPr>
            <w:tcW w:w="960" w:type="dxa"/>
            <w:tcBorders>
              <w:top w:val="single" w:color="auto" w:sz="4" w:space="0"/>
              <w:left w:val="single" w:color="auto" w:sz="4" w:space="0"/>
              <w:bottom w:val="single" w:color="auto" w:sz="4" w:space="0"/>
              <w:right w:val="single" w:color="auto" w:sz="4" w:space="0"/>
              <w:tl2br w:val="nil"/>
              <w:tr2bl w:val="nil"/>
            </w:tcBorders>
            <w:vAlign w:val="center"/>
          </w:tcPr>
          <w:p w14:paraId="37B66675">
            <w:pPr>
              <w:widowControl w:val="0"/>
              <w:spacing w:after="160" w:line="360" w:lineRule="exact"/>
              <w:jc w:val="center"/>
              <w:rPr>
                <w:rFonts w:ascii="宋体" w:hAnsi="宋体" w:eastAsia="宋体" w:cs="宋体"/>
                <w:kern w:val="2"/>
                <w:sz w:val="28"/>
                <w:szCs w:val="28"/>
                <w:lang w:eastAsia="zh-CN"/>
              </w:rPr>
            </w:pPr>
            <w:r>
              <w:rPr>
                <w:rFonts w:hint="eastAsia" w:ascii="宋体" w:hAnsi="宋体" w:eastAsia="宋体" w:cs="宋体"/>
                <w:color w:val="000000"/>
                <w:kern w:val="2"/>
                <w:sz w:val="28"/>
                <w:szCs w:val="28"/>
                <w:highlight w:val="white"/>
                <w:lang w:eastAsia="zh-CN"/>
              </w:rPr>
              <w:t>7</w:t>
            </w:r>
          </w:p>
        </w:tc>
        <w:tc>
          <w:tcPr>
            <w:tcW w:w="2545" w:type="dxa"/>
            <w:tcBorders>
              <w:top w:val="single" w:color="auto" w:sz="4" w:space="0"/>
              <w:left w:val="single" w:color="auto" w:sz="4" w:space="0"/>
              <w:bottom w:val="single" w:color="auto" w:sz="4" w:space="0"/>
              <w:right w:val="single" w:color="auto" w:sz="4" w:space="0"/>
              <w:tl2br w:val="nil"/>
              <w:tr2bl w:val="nil"/>
            </w:tcBorders>
            <w:vAlign w:val="center"/>
          </w:tcPr>
          <w:p w14:paraId="398E2B48">
            <w:pPr>
              <w:widowControl w:val="0"/>
              <w:spacing w:after="160" w:line="360" w:lineRule="exact"/>
              <w:jc w:val="center"/>
              <w:rPr>
                <w:rFonts w:ascii="宋体" w:eastAsia="宋体"/>
                <w:kern w:val="2"/>
                <w:sz w:val="28"/>
                <w:szCs w:val="28"/>
                <w:lang w:eastAsia="zh-CN"/>
              </w:rPr>
            </w:pPr>
          </w:p>
        </w:tc>
        <w:tc>
          <w:tcPr>
            <w:tcW w:w="1903" w:type="dxa"/>
            <w:tcBorders>
              <w:top w:val="single" w:color="auto" w:sz="4" w:space="0"/>
              <w:left w:val="single" w:color="auto" w:sz="4" w:space="0"/>
              <w:bottom w:val="single" w:color="auto" w:sz="4" w:space="0"/>
              <w:right w:val="single" w:color="auto" w:sz="4" w:space="0"/>
              <w:tl2br w:val="nil"/>
              <w:tr2bl w:val="nil"/>
            </w:tcBorders>
          </w:tcPr>
          <w:p w14:paraId="342AE7FE">
            <w:pPr>
              <w:widowControl w:val="0"/>
              <w:spacing w:after="160" w:line="360" w:lineRule="exact"/>
              <w:jc w:val="both"/>
              <w:rPr>
                <w:rFonts w:ascii="宋体" w:eastAsia="宋体"/>
                <w:kern w:val="2"/>
                <w:sz w:val="28"/>
                <w:szCs w:val="28"/>
                <w:lang w:eastAsia="zh-CN"/>
              </w:rPr>
            </w:pPr>
          </w:p>
        </w:tc>
        <w:tc>
          <w:tcPr>
            <w:tcW w:w="1539" w:type="dxa"/>
            <w:tcBorders>
              <w:top w:val="single" w:color="auto" w:sz="4" w:space="0"/>
              <w:left w:val="single" w:color="auto" w:sz="4" w:space="0"/>
              <w:bottom w:val="single" w:color="auto" w:sz="4" w:space="0"/>
              <w:right w:val="single" w:color="auto" w:sz="4" w:space="0"/>
              <w:tl2br w:val="nil"/>
              <w:tr2bl w:val="nil"/>
            </w:tcBorders>
          </w:tcPr>
          <w:p w14:paraId="37B11409">
            <w:pPr>
              <w:widowControl w:val="0"/>
              <w:spacing w:after="160" w:line="360" w:lineRule="exact"/>
              <w:jc w:val="both"/>
              <w:rPr>
                <w:rFonts w:ascii="宋体" w:eastAsia="宋体"/>
                <w:kern w:val="2"/>
                <w:sz w:val="28"/>
                <w:szCs w:val="28"/>
                <w:lang w:eastAsia="zh-CN"/>
              </w:rPr>
            </w:pPr>
          </w:p>
        </w:tc>
      </w:tr>
      <w:tr w14:paraId="50654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7" w:hRule="atLeast"/>
          <w:jc w:val="center"/>
        </w:trPr>
        <w:tc>
          <w:tcPr>
            <w:tcW w:w="960" w:type="dxa"/>
            <w:tcBorders>
              <w:top w:val="single" w:color="auto" w:sz="4" w:space="0"/>
              <w:left w:val="single" w:color="auto" w:sz="4" w:space="0"/>
              <w:bottom w:val="single" w:color="auto" w:sz="4" w:space="0"/>
              <w:right w:val="single" w:color="auto" w:sz="4" w:space="0"/>
              <w:tl2br w:val="nil"/>
              <w:tr2bl w:val="nil"/>
            </w:tcBorders>
            <w:vAlign w:val="center"/>
          </w:tcPr>
          <w:p w14:paraId="76A2C23E">
            <w:pPr>
              <w:widowControl w:val="0"/>
              <w:spacing w:after="160" w:line="360" w:lineRule="exact"/>
              <w:jc w:val="center"/>
              <w:rPr>
                <w:rFonts w:ascii="宋体" w:hAnsi="宋体" w:eastAsia="宋体" w:cs="宋体"/>
                <w:kern w:val="2"/>
                <w:sz w:val="28"/>
                <w:szCs w:val="28"/>
                <w:lang w:eastAsia="zh-CN"/>
              </w:rPr>
            </w:pPr>
            <w:r>
              <w:rPr>
                <w:rFonts w:hint="eastAsia" w:ascii="宋体" w:hAnsi="宋体" w:eastAsia="宋体" w:cs="宋体"/>
                <w:color w:val="000000"/>
                <w:kern w:val="2"/>
                <w:sz w:val="28"/>
                <w:szCs w:val="28"/>
                <w:highlight w:val="white"/>
                <w:lang w:eastAsia="zh-CN"/>
              </w:rPr>
              <w:t>...</w:t>
            </w:r>
          </w:p>
        </w:tc>
        <w:tc>
          <w:tcPr>
            <w:tcW w:w="2545" w:type="dxa"/>
            <w:tcBorders>
              <w:top w:val="single" w:color="auto" w:sz="4" w:space="0"/>
              <w:left w:val="single" w:color="auto" w:sz="4" w:space="0"/>
              <w:bottom w:val="single" w:color="auto" w:sz="4" w:space="0"/>
              <w:right w:val="single" w:color="auto" w:sz="4" w:space="0"/>
              <w:tl2br w:val="nil"/>
              <w:tr2bl w:val="nil"/>
            </w:tcBorders>
            <w:vAlign w:val="center"/>
          </w:tcPr>
          <w:p w14:paraId="1E9359BD">
            <w:pPr>
              <w:widowControl w:val="0"/>
              <w:spacing w:after="160" w:line="360" w:lineRule="exact"/>
              <w:jc w:val="center"/>
              <w:rPr>
                <w:rFonts w:ascii="宋体" w:eastAsia="宋体"/>
                <w:kern w:val="2"/>
                <w:sz w:val="28"/>
                <w:szCs w:val="28"/>
                <w:lang w:eastAsia="zh-CN"/>
              </w:rPr>
            </w:pPr>
          </w:p>
        </w:tc>
        <w:tc>
          <w:tcPr>
            <w:tcW w:w="1903" w:type="dxa"/>
            <w:tcBorders>
              <w:top w:val="single" w:color="auto" w:sz="4" w:space="0"/>
              <w:left w:val="single" w:color="auto" w:sz="4" w:space="0"/>
              <w:bottom w:val="single" w:color="auto" w:sz="4" w:space="0"/>
              <w:right w:val="single" w:color="auto" w:sz="4" w:space="0"/>
              <w:tl2br w:val="nil"/>
              <w:tr2bl w:val="nil"/>
            </w:tcBorders>
          </w:tcPr>
          <w:p w14:paraId="4D68E1F0">
            <w:pPr>
              <w:widowControl w:val="0"/>
              <w:spacing w:after="160" w:line="360" w:lineRule="exact"/>
              <w:jc w:val="both"/>
              <w:rPr>
                <w:rFonts w:ascii="宋体" w:eastAsia="宋体"/>
                <w:kern w:val="2"/>
                <w:sz w:val="28"/>
                <w:szCs w:val="28"/>
                <w:lang w:eastAsia="zh-CN"/>
              </w:rPr>
            </w:pPr>
          </w:p>
        </w:tc>
        <w:tc>
          <w:tcPr>
            <w:tcW w:w="1539" w:type="dxa"/>
            <w:tcBorders>
              <w:top w:val="single" w:color="auto" w:sz="4" w:space="0"/>
              <w:left w:val="single" w:color="auto" w:sz="4" w:space="0"/>
              <w:bottom w:val="single" w:color="auto" w:sz="4" w:space="0"/>
              <w:right w:val="single" w:color="auto" w:sz="4" w:space="0"/>
              <w:tl2br w:val="nil"/>
              <w:tr2bl w:val="nil"/>
            </w:tcBorders>
          </w:tcPr>
          <w:p w14:paraId="2CB4FC9D">
            <w:pPr>
              <w:widowControl w:val="0"/>
              <w:spacing w:after="160" w:line="360" w:lineRule="exact"/>
              <w:jc w:val="both"/>
              <w:rPr>
                <w:rFonts w:ascii="宋体" w:eastAsia="宋体"/>
                <w:kern w:val="2"/>
                <w:sz w:val="28"/>
                <w:szCs w:val="28"/>
                <w:lang w:eastAsia="zh-CN"/>
              </w:rPr>
            </w:pPr>
          </w:p>
        </w:tc>
      </w:tr>
      <w:tr w14:paraId="31EB3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960" w:type="dxa"/>
            <w:tcBorders>
              <w:top w:val="single" w:color="auto" w:sz="4" w:space="0"/>
              <w:left w:val="single" w:color="auto" w:sz="4" w:space="0"/>
              <w:bottom w:val="single" w:color="auto" w:sz="4" w:space="0"/>
              <w:right w:val="single" w:color="auto" w:sz="4" w:space="0"/>
              <w:tl2br w:val="nil"/>
              <w:tr2bl w:val="nil"/>
            </w:tcBorders>
            <w:vAlign w:val="center"/>
          </w:tcPr>
          <w:p w14:paraId="1CF8A367">
            <w:pPr>
              <w:widowControl w:val="0"/>
              <w:spacing w:after="160" w:line="360" w:lineRule="exact"/>
              <w:jc w:val="center"/>
              <w:rPr>
                <w:rFonts w:ascii="宋体" w:hAnsi="宋体" w:eastAsia="宋体" w:cs="宋体"/>
                <w:kern w:val="2"/>
                <w:sz w:val="28"/>
                <w:szCs w:val="28"/>
                <w:lang w:eastAsia="zh-CN"/>
              </w:rPr>
            </w:pPr>
            <w:r>
              <w:rPr>
                <w:rFonts w:hint="eastAsia" w:ascii="宋体" w:hAnsi="宋体" w:eastAsia="宋体" w:cs="宋体"/>
                <w:color w:val="000000"/>
                <w:kern w:val="2"/>
                <w:sz w:val="28"/>
                <w:szCs w:val="28"/>
                <w:highlight w:val="white"/>
                <w:lang w:eastAsia="zh-CN"/>
              </w:rPr>
              <w:t>...</w:t>
            </w:r>
          </w:p>
        </w:tc>
        <w:tc>
          <w:tcPr>
            <w:tcW w:w="2545" w:type="dxa"/>
            <w:tcBorders>
              <w:top w:val="single" w:color="auto" w:sz="4" w:space="0"/>
              <w:left w:val="single" w:color="auto" w:sz="4" w:space="0"/>
              <w:bottom w:val="single" w:color="auto" w:sz="4" w:space="0"/>
              <w:right w:val="single" w:color="auto" w:sz="4" w:space="0"/>
              <w:tl2br w:val="nil"/>
              <w:tr2bl w:val="nil"/>
            </w:tcBorders>
            <w:vAlign w:val="center"/>
          </w:tcPr>
          <w:p w14:paraId="3C1B1E80">
            <w:pPr>
              <w:widowControl w:val="0"/>
              <w:spacing w:after="160" w:line="360" w:lineRule="exact"/>
              <w:jc w:val="center"/>
              <w:rPr>
                <w:rFonts w:ascii="宋体" w:eastAsia="宋体"/>
                <w:kern w:val="2"/>
                <w:sz w:val="28"/>
                <w:szCs w:val="28"/>
                <w:lang w:eastAsia="zh-CN"/>
              </w:rPr>
            </w:pPr>
            <w:r>
              <w:rPr>
                <w:rFonts w:hint="eastAsia" w:ascii="宋体" w:hAnsi="宋体" w:eastAsia="宋体" w:cs="宋体"/>
                <w:color w:val="000000"/>
                <w:kern w:val="2"/>
                <w:sz w:val="28"/>
                <w:szCs w:val="28"/>
                <w:highlight w:val="white"/>
                <w:lang w:eastAsia="zh-CN"/>
              </w:rPr>
              <w:t>合计</w:t>
            </w:r>
          </w:p>
        </w:tc>
        <w:tc>
          <w:tcPr>
            <w:tcW w:w="1903" w:type="dxa"/>
            <w:tcBorders>
              <w:top w:val="single" w:color="auto" w:sz="4" w:space="0"/>
              <w:left w:val="single" w:color="auto" w:sz="4" w:space="0"/>
              <w:bottom w:val="single" w:color="auto" w:sz="4" w:space="0"/>
              <w:right w:val="single" w:color="auto" w:sz="4" w:space="0"/>
              <w:tl2br w:val="nil"/>
              <w:tr2bl w:val="nil"/>
            </w:tcBorders>
          </w:tcPr>
          <w:p w14:paraId="78B1A50F">
            <w:pPr>
              <w:widowControl w:val="0"/>
              <w:spacing w:after="160" w:line="360" w:lineRule="exact"/>
              <w:jc w:val="both"/>
              <w:rPr>
                <w:rFonts w:ascii="宋体" w:eastAsia="宋体"/>
                <w:kern w:val="2"/>
                <w:sz w:val="28"/>
                <w:szCs w:val="28"/>
                <w:lang w:eastAsia="zh-CN"/>
              </w:rPr>
            </w:pPr>
          </w:p>
        </w:tc>
        <w:tc>
          <w:tcPr>
            <w:tcW w:w="1539" w:type="dxa"/>
            <w:tcBorders>
              <w:top w:val="single" w:color="auto" w:sz="4" w:space="0"/>
              <w:left w:val="single" w:color="auto" w:sz="4" w:space="0"/>
              <w:bottom w:val="single" w:color="auto" w:sz="4" w:space="0"/>
              <w:right w:val="single" w:color="auto" w:sz="4" w:space="0"/>
              <w:tl2br w:val="nil"/>
              <w:tr2bl w:val="nil"/>
            </w:tcBorders>
          </w:tcPr>
          <w:p w14:paraId="4C1F9287">
            <w:pPr>
              <w:widowControl w:val="0"/>
              <w:spacing w:after="160" w:line="360" w:lineRule="exact"/>
              <w:jc w:val="both"/>
              <w:rPr>
                <w:rFonts w:ascii="宋体" w:eastAsia="宋体"/>
                <w:kern w:val="2"/>
                <w:sz w:val="28"/>
                <w:szCs w:val="28"/>
                <w:lang w:eastAsia="zh-CN"/>
              </w:rPr>
            </w:pPr>
          </w:p>
        </w:tc>
      </w:tr>
    </w:tbl>
    <w:p w14:paraId="15505AEF">
      <w:pPr>
        <w:widowControl w:val="0"/>
        <w:topLinePunct/>
        <w:autoSpaceDE w:val="0"/>
        <w:autoSpaceDN w:val="0"/>
        <w:adjustRightInd w:val="0"/>
        <w:snapToGrid w:val="0"/>
        <w:spacing w:before="0" w:after="0" w:line="360" w:lineRule="auto"/>
        <w:jc w:val="left"/>
        <w:rPr>
          <w:rFonts w:hint="eastAsia" w:ascii="宋体" w:hAnsi="宋体" w:eastAsia="宋体" w:cs="宋体"/>
          <w:kern w:val="2"/>
          <w:sz w:val="21"/>
          <w:lang w:eastAsia="zh-CN"/>
        </w:rPr>
      </w:pPr>
    </w:p>
    <w:p w14:paraId="0A96E052">
      <w:pPr>
        <w:widowControl w:val="0"/>
        <w:tabs>
          <w:tab w:val="left" w:pos="1230"/>
        </w:tabs>
        <w:topLinePunct/>
        <w:autoSpaceDE w:val="0"/>
        <w:autoSpaceDN w:val="0"/>
        <w:snapToGrid w:val="0"/>
        <w:spacing w:before="0" w:after="0" w:line="400" w:lineRule="exact"/>
        <w:jc w:val="left"/>
        <w:rPr>
          <w:rFonts w:eastAsia="宋体"/>
          <w:kern w:val="2"/>
          <w:sz w:val="21"/>
          <w:lang w:eastAsia="zh-CN"/>
        </w:rPr>
      </w:pPr>
      <w:r>
        <w:rPr>
          <w:rFonts w:hint="eastAsia" w:ascii="宋体" w:hAnsi="宋体" w:eastAsia="宋体" w:cs="宋体"/>
          <w:color w:val="000000"/>
          <w:kern w:val="2"/>
          <w:sz w:val="21"/>
          <w:highlight w:val="white"/>
          <w:lang w:eastAsia="zh-CN"/>
        </w:rPr>
        <w:t>特别说明:</w:t>
      </w:r>
    </w:p>
    <w:p w14:paraId="3AF29F46">
      <w:pPr>
        <w:widowControl w:val="0"/>
        <w:numPr>
          <w:ilvl w:val="0"/>
          <w:numId w:val="7"/>
        </w:numPr>
        <w:tabs>
          <w:tab w:val="left" w:pos="640"/>
        </w:tabs>
        <w:topLinePunct/>
        <w:autoSpaceDE w:val="0"/>
        <w:autoSpaceDN w:val="0"/>
        <w:adjustRightInd w:val="0"/>
        <w:snapToGrid w:val="0"/>
        <w:spacing w:before="0" w:after="0" w:line="360" w:lineRule="auto"/>
        <w:ind w:left="425" w:hanging="5"/>
        <w:jc w:val="left"/>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本项目报价表各项均不接受任何形式的赠送、“零”报价。</w:t>
      </w:r>
    </w:p>
    <w:p w14:paraId="5AE6107D">
      <w:pPr>
        <w:widowControl w:val="0"/>
        <w:numPr>
          <w:ilvl w:val="0"/>
          <w:numId w:val="7"/>
        </w:numPr>
        <w:tabs>
          <w:tab w:val="left" w:pos="640"/>
        </w:tabs>
        <w:topLinePunct/>
        <w:autoSpaceDE w:val="0"/>
        <w:autoSpaceDN w:val="0"/>
        <w:adjustRightInd w:val="0"/>
        <w:snapToGrid w:val="0"/>
        <w:spacing w:before="0" w:after="0" w:line="360" w:lineRule="auto"/>
        <w:ind w:left="425" w:hanging="5"/>
        <w:jc w:val="left"/>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本项目执行中所发生的所有费用均计入报价中，采购人不再另行支付其他任何费用。</w:t>
      </w:r>
    </w:p>
    <w:p w14:paraId="43D2A193">
      <w:pPr>
        <w:widowControl w:val="0"/>
        <w:numPr>
          <w:ilvl w:val="0"/>
          <w:numId w:val="7"/>
        </w:numPr>
        <w:tabs>
          <w:tab w:val="left" w:pos="640"/>
        </w:tabs>
        <w:topLinePunct/>
        <w:autoSpaceDE w:val="0"/>
        <w:autoSpaceDN w:val="0"/>
        <w:adjustRightInd w:val="0"/>
        <w:snapToGrid w:val="0"/>
        <w:spacing w:before="0" w:after="0" w:line="360" w:lineRule="auto"/>
        <w:ind w:left="425" w:hanging="5"/>
        <w:jc w:val="left"/>
        <w:rPr>
          <w:rFonts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供应商应根据《招标文件-技术部分》相关要求填报。</w:t>
      </w:r>
    </w:p>
    <w:p w14:paraId="6B7EF076">
      <w:pPr>
        <w:widowControl w:val="0"/>
        <w:tabs>
          <w:tab w:val="left" w:pos="1230"/>
        </w:tabs>
        <w:topLinePunct/>
        <w:autoSpaceDE w:val="0"/>
        <w:autoSpaceDN w:val="0"/>
        <w:adjustRightInd w:val="0"/>
        <w:snapToGrid w:val="0"/>
        <w:spacing w:before="0" w:after="0" w:line="360" w:lineRule="auto"/>
        <w:ind w:firstLine="420" w:firstLineChars="200"/>
        <w:jc w:val="center"/>
        <w:rPr>
          <w:rFonts w:hint="eastAsia" w:ascii="宋体" w:hAnsi="宋体" w:eastAsia="宋体" w:cs="宋体"/>
          <w:kern w:val="2"/>
          <w:lang w:eastAsia="zh-CN"/>
        </w:rPr>
      </w:pPr>
    </w:p>
    <w:p w14:paraId="0CF77A08">
      <w:pPr>
        <w:widowControl w:val="0"/>
        <w:tabs>
          <w:tab w:val="left" w:pos="1230"/>
        </w:tabs>
        <w:topLinePunct/>
        <w:autoSpaceDE w:val="0"/>
        <w:autoSpaceDN w:val="0"/>
        <w:adjustRightInd w:val="0"/>
        <w:snapToGrid w:val="0"/>
        <w:spacing w:before="0" w:after="0" w:line="360" w:lineRule="auto"/>
        <w:ind w:firstLine="420" w:firstLineChars="200"/>
        <w:jc w:val="center"/>
        <w:rPr>
          <w:rFonts w:hint="eastAsia" w:ascii="宋体" w:hAnsi="宋体" w:eastAsia="宋体" w:cs="宋体"/>
          <w:kern w:val="2"/>
          <w:lang w:eastAsia="zh-CN"/>
        </w:rPr>
      </w:pPr>
      <w:r>
        <w:rPr>
          <w:rFonts w:hint="eastAsia" w:ascii="宋体" w:hAnsi="宋体" w:eastAsia="宋体" w:cs="宋体"/>
          <w:color w:val="000000"/>
          <w:kern w:val="2"/>
          <w:highlight w:val="white"/>
          <w:lang w:eastAsia="zh-CN"/>
        </w:rPr>
        <w:t xml:space="preserve">   投标人名称（电子签章）：</w:t>
      </w:r>
    </w:p>
    <w:p w14:paraId="42F4DFCC">
      <w:pPr>
        <w:widowControl w:val="0"/>
        <w:tabs>
          <w:tab w:val="left" w:pos="1230"/>
        </w:tabs>
        <w:topLinePunct/>
        <w:autoSpaceDE w:val="0"/>
        <w:autoSpaceDN w:val="0"/>
        <w:adjustRightInd w:val="0"/>
        <w:snapToGrid w:val="0"/>
        <w:spacing w:before="0" w:after="0" w:line="360" w:lineRule="auto"/>
        <w:ind w:firstLine="420" w:firstLineChars="200"/>
        <w:jc w:val="center"/>
        <w:rPr>
          <w:rFonts w:hAnsi="宋体" w:eastAsia="宋体" w:cs="宋体"/>
          <w:kern w:val="2"/>
          <w:u w:val="single"/>
          <w:lang w:eastAsia="zh-CN"/>
        </w:rPr>
      </w:pPr>
      <w:r>
        <w:rPr>
          <w:rFonts w:hint="eastAsia" w:hAnsi="宋体" w:eastAsia="宋体" w:cs="宋体"/>
          <w:color w:val="000000"/>
          <w:kern w:val="2"/>
          <w:highlight w:val="white"/>
          <w:lang w:eastAsia="zh-CN"/>
        </w:rPr>
        <w:t>日期：</w:t>
      </w:r>
    </w:p>
    <w:p w14:paraId="7D71A94D">
      <w:pPr>
        <w:keepNext/>
        <w:keepLines/>
        <w:widowControl w:val="0"/>
        <w:numPr>
          <w:ilvl w:val="0"/>
          <w:numId w:val="0"/>
        </w:numPr>
        <w:tabs>
          <w:tab w:val="left" w:pos="1008"/>
        </w:tabs>
        <w:spacing w:before="0" w:after="0" w:line="374" w:lineRule="auto"/>
        <w:ind w:left="0" w:leftChars="0" w:firstLine="0"/>
        <w:jc w:val="both"/>
        <w:outlineLvl w:val="4"/>
        <w:rPr>
          <w:rFonts w:hint="eastAsia" w:ascii="Verdana" w:hAnsi="Verdana" w:eastAsia="宋体"/>
          <w:b/>
          <w:bCs/>
          <w:kern w:val="2"/>
          <w:sz w:val="28"/>
          <w:szCs w:val="28"/>
          <w:lang w:eastAsia="zh-CN"/>
        </w:rPr>
      </w:pPr>
    </w:p>
    <w:p w14:paraId="54172A70">
      <w:pPr>
        <w:widowControl w:val="0"/>
        <w:spacing w:before="0" w:after="0" w:line="320" w:lineRule="exact"/>
        <w:jc w:val="center"/>
        <w:rPr>
          <w:rFonts w:hint="eastAsia" w:ascii="宋体" w:hAnsi="宋体" w:eastAsia="宋体" w:cs="宋体"/>
          <w:b/>
          <w:kern w:val="2"/>
          <w:sz w:val="28"/>
          <w:lang w:eastAsia="zh-CN"/>
        </w:rPr>
      </w:pPr>
    </w:p>
    <w:p w14:paraId="185B0C6D">
      <w:pPr>
        <w:widowControl w:val="0"/>
        <w:spacing w:before="0" w:after="0" w:line="259" w:lineRule="auto"/>
        <w:jc w:val="both"/>
        <w:rPr>
          <w:rFonts w:eastAsia="宋体"/>
          <w:kern w:val="2"/>
          <w:sz w:val="21"/>
          <w:lang w:eastAsia="zh-CN"/>
        </w:rPr>
      </w:pPr>
    </w:p>
    <w:p w14:paraId="2F184C61">
      <w:pPr>
        <w:spacing w:before="0" w:after="0" w:line="360" w:lineRule="auto"/>
        <w:ind w:firstLine="0"/>
        <w:jc w:val="center"/>
        <w:rPr>
          <w:rFonts w:ascii="宋体" w:hAnsi="宋体" w:eastAsia="宋体" w:cs="宋体"/>
          <w:b/>
          <w:sz w:val="28"/>
        </w:rPr>
      </w:pPr>
    </w:p>
    <w:p w14:paraId="57258472">
      <w:pPr>
        <w:adjustRightInd w:val="0"/>
        <w:snapToGrid w:val="0"/>
        <w:spacing w:after="0" w:line="360" w:lineRule="auto"/>
        <w:jc w:val="center"/>
        <w:rPr>
          <w:rFonts w:ascii="宋体" w:hAnsi="宋体" w:cs="宋体"/>
          <w:color w:val="auto"/>
        </w:rPr>
      </w:pPr>
      <w:r>
        <w:rPr>
          <w:color w:val="000000"/>
          <w:highlight w:val="white"/>
        </w:rPr>
        <w:br w:type="page"/>
      </w:r>
      <w:r>
        <w:rPr>
          <w:rFonts w:ascii="宋体" w:hAnsi="宋体" w:cs="宋体"/>
          <w:b/>
          <w:bCs/>
          <w:color w:val="000000"/>
          <w:sz w:val="36"/>
          <w:szCs w:val="36"/>
          <w:highlight w:val="white"/>
        </w:rPr>
        <w:t>格式3 法定代表人授权委托书</w:t>
      </w:r>
    </w:p>
    <w:p w14:paraId="23393B9B">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000000"/>
          <w:sz w:val="24"/>
          <w:highlight w:val="white"/>
        </w:rPr>
        <w:t>本授权书声明：注册于___________ （投标人住址）的___________  （投标人名称）法定代表人 _______（姓名、职务）代表本公司授权_______（被授权投标代表姓名、职务）为本公司的合法投标代表，就贵方组织的《</w:t>
      </w:r>
      <w:r>
        <w:rPr>
          <w:rFonts w:hint="eastAsia" w:ascii="宋体" w:hAnsi="宋体" w:cs="宋体"/>
          <w:color w:val="000000"/>
          <w:sz w:val="24"/>
          <w:highlight w:val="white"/>
          <w:u w:val="single"/>
        </w:rPr>
        <w:t xml:space="preserve">          项目</w:t>
      </w:r>
      <w:r>
        <w:rPr>
          <w:rFonts w:hint="eastAsia" w:ascii="宋体" w:hAnsi="宋体" w:cs="宋体"/>
          <w:color w:val="000000"/>
          <w:sz w:val="24"/>
          <w:highlight w:val="white"/>
        </w:rPr>
        <w:t>》（项目编号：）投标、合同的执行，以本公司名义处理一切与之有关的事务。</w:t>
      </w:r>
    </w:p>
    <w:p w14:paraId="075E8D19">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000000"/>
          <w:sz w:val="24"/>
          <w:highlight w:val="white"/>
        </w:rPr>
        <w:t>本授权书于______年______月_____日生效，特此声明。</w:t>
      </w:r>
    </w:p>
    <w:p w14:paraId="1B299BD2">
      <w:pPr>
        <w:pStyle w:val="18"/>
        <w:adjustRightInd w:val="0"/>
        <w:snapToGrid w:val="0"/>
        <w:spacing w:line="360" w:lineRule="auto"/>
        <w:ind w:firstLine="480" w:firstLineChars="200"/>
        <w:rPr>
          <w:rFonts w:hAnsi="宋体" w:cs="宋体"/>
          <w:color w:val="auto"/>
          <w:sz w:val="24"/>
          <w:szCs w:val="24"/>
        </w:rPr>
      </w:pPr>
      <w:r>
        <w:rPr>
          <w:rFonts w:hint="eastAsia" w:hAnsi="宋体" w:cs="宋体"/>
          <w:color w:val="000000"/>
          <w:sz w:val="24"/>
          <w:szCs w:val="24"/>
          <w:highlight w:val="white"/>
        </w:rPr>
        <w:t>被授权投标代表无转委托权。</w:t>
      </w:r>
    </w:p>
    <w:tbl>
      <w:tblPr>
        <w:tblStyle w:val="30"/>
        <w:tblW w:w="73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9"/>
      </w:tblGrid>
      <w:tr w14:paraId="71543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2" w:hRule="atLeast"/>
          <w:jc w:val="center"/>
        </w:trPr>
        <w:tc>
          <w:tcPr>
            <w:tcW w:w="7389" w:type="dxa"/>
            <w:noWrap/>
            <w:vAlign w:val="center"/>
          </w:tcPr>
          <w:p w14:paraId="6151D22D">
            <w:pPr>
              <w:pStyle w:val="18"/>
              <w:adjustRightInd w:val="0"/>
              <w:snapToGrid w:val="0"/>
              <w:spacing w:line="360" w:lineRule="auto"/>
              <w:jc w:val="both"/>
              <w:rPr>
                <w:rFonts w:hAnsi="宋体" w:cs="宋体"/>
                <w:color w:val="auto"/>
              </w:rPr>
            </w:pPr>
          </w:p>
          <w:p w14:paraId="58E2D90D">
            <w:pPr>
              <w:pStyle w:val="18"/>
              <w:adjustRightInd w:val="0"/>
              <w:snapToGrid w:val="0"/>
              <w:spacing w:line="360" w:lineRule="auto"/>
              <w:jc w:val="center"/>
              <w:rPr>
                <w:rFonts w:hAnsi="宋体" w:cs="宋体"/>
                <w:color w:val="auto"/>
              </w:rPr>
            </w:pPr>
          </w:p>
          <w:p w14:paraId="6F4239F3">
            <w:pPr>
              <w:pStyle w:val="18"/>
              <w:adjustRightInd w:val="0"/>
              <w:snapToGrid w:val="0"/>
              <w:spacing w:line="360" w:lineRule="auto"/>
              <w:jc w:val="center"/>
              <w:rPr>
                <w:rFonts w:hAnsi="宋体" w:cs="宋体"/>
                <w:color w:val="auto"/>
              </w:rPr>
            </w:pPr>
            <w:r>
              <w:rPr>
                <w:rFonts w:hint="eastAsia" w:hAnsi="宋体" w:cs="宋体"/>
                <w:color w:val="000000"/>
                <w:highlight w:val="white"/>
                <w:lang w:eastAsia="zh-CN"/>
              </w:rPr>
              <w:t>法定代表人</w:t>
            </w:r>
            <w:r>
              <w:rPr>
                <w:rFonts w:hint="eastAsia" w:hAnsi="宋体" w:cs="宋体"/>
                <w:color w:val="000000"/>
                <w:highlight w:val="white"/>
              </w:rPr>
              <w:t>身份证复印件</w:t>
            </w:r>
          </w:p>
          <w:p w14:paraId="539874DB">
            <w:pPr>
              <w:pStyle w:val="18"/>
              <w:adjustRightInd w:val="0"/>
              <w:snapToGrid w:val="0"/>
              <w:spacing w:line="360" w:lineRule="auto"/>
              <w:jc w:val="center"/>
              <w:rPr>
                <w:rFonts w:hAnsi="宋体" w:cs="宋体"/>
                <w:color w:val="auto"/>
              </w:rPr>
            </w:pPr>
          </w:p>
          <w:p w14:paraId="4D8587A1">
            <w:pPr>
              <w:pStyle w:val="18"/>
              <w:adjustRightInd w:val="0"/>
              <w:snapToGrid w:val="0"/>
              <w:spacing w:line="360" w:lineRule="auto"/>
              <w:jc w:val="center"/>
              <w:rPr>
                <w:rFonts w:hAnsi="宋体" w:cs="宋体"/>
                <w:color w:val="auto"/>
              </w:rPr>
            </w:pPr>
          </w:p>
        </w:tc>
      </w:tr>
    </w:tbl>
    <w:p w14:paraId="60983A6B">
      <w:pPr>
        <w:pStyle w:val="18"/>
        <w:adjustRightInd w:val="0"/>
        <w:snapToGrid w:val="0"/>
        <w:spacing w:line="360" w:lineRule="auto"/>
        <w:rPr>
          <w:rFonts w:hAnsi="宋体" w:cs="宋体"/>
          <w:color w:val="auto"/>
        </w:rPr>
      </w:pPr>
    </w:p>
    <w:p w14:paraId="4CFCE2E2">
      <w:pPr>
        <w:pStyle w:val="18"/>
        <w:adjustRightInd w:val="0"/>
        <w:snapToGrid w:val="0"/>
        <w:spacing w:line="360" w:lineRule="auto"/>
        <w:rPr>
          <w:rFonts w:hAnsi="宋体" w:cs="宋体"/>
          <w:color w:val="auto"/>
        </w:rPr>
      </w:pPr>
    </w:p>
    <w:tbl>
      <w:tblPr>
        <w:tblStyle w:val="30"/>
        <w:tblW w:w="73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9"/>
      </w:tblGrid>
      <w:tr w14:paraId="58DED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89" w:type="dxa"/>
            <w:noWrap/>
            <w:vAlign w:val="center"/>
          </w:tcPr>
          <w:p w14:paraId="2B043A45">
            <w:pPr>
              <w:pStyle w:val="18"/>
              <w:adjustRightInd w:val="0"/>
              <w:snapToGrid w:val="0"/>
              <w:spacing w:line="360" w:lineRule="auto"/>
              <w:jc w:val="center"/>
              <w:rPr>
                <w:rFonts w:hAnsi="宋体" w:cs="宋体"/>
                <w:color w:val="auto"/>
              </w:rPr>
            </w:pPr>
          </w:p>
          <w:p w14:paraId="4E5A978B">
            <w:pPr>
              <w:pStyle w:val="18"/>
              <w:adjustRightInd w:val="0"/>
              <w:snapToGrid w:val="0"/>
              <w:spacing w:line="360" w:lineRule="auto"/>
              <w:jc w:val="both"/>
              <w:rPr>
                <w:rFonts w:hAnsi="宋体" w:cs="宋体"/>
                <w:color w:val="auto"/>
              </w:rPr>
            </w:pPr>
          </w:p>
          <w:p w14:paraId="706D3086">
            <w:pPr>
              <w:pStyle w:val="18"/>
              <w:adjustRightInd w:val="0"/>
              <w:snapToGrid w:val="0"/>
              <w:spacing w:line="360" w:lineRule="auto"/>
              <w:jc w:val="center"/>
              <w:rPr>
                <w:rFonts w:hAnsi="宋体" w:cs="宋体"/>
                <w:color w:val="auto"/>
              </w:rPr>
            </w:pPr>
          </w:p>
          <w:p w14:paraId="6139F724">
            <w:pPr>
              <w:pStyle w:val="18"/>
              <w:adjustRightInd w:val="0"/>
              <w:snapToGrid w:val="0"/>
              <w:spacing w:line="360" w:lineRule="auto"/>
              <w:jc w:val="center"/>
              <w:rPr>
                <w:rFonts w:hAnsi="宋体" w:cs="宋体"/>
                <w:color w:val="auto"/>
              </w:rPr>
            </w:pPr>
            <w:r>
              <w:rPr>
                <w:rFonts w:hint="eastAsia" w:ascii="宋体" w:hAnsi="宋体" w:cs="宋体"/>
                <w:color w:val="000000"/>
                <w:highlight w:val="white"/>
              </w:rPr>
              <w:t>被授权投标代表</w:t>
            </w:r>
            <w:r>
              <w:rPr>
                <w:rFonts w:hint="eastAsia" w:hAnsi="宋体" w:cs="宋体"/>
                <w:color w:val="000000"/>
                <w:highlight w:val="white"/>
              </w:rPr>
              <w:t>身份证复印件</w:t>
            </w:r>
          </w:p>
          <w:p w14:paraId="2F886C8C">
            <w:pPr>
              <w:pStyle w:val="18"/>
              <w:adjustRightInd w:val="0"/>
              <w:snapToGrid w:val="0"/>
              <w:spacing w:line="360" w:lineRule="auto"/>
              <w:jc w:val="center"/>
              <w:rPr>
                <w:rFonts w:hAnsi="宋体" w:cs="宋体"/>
                <w:color w:val="auto"/>
              </w:rPr>
            </w:pPr>
          </w:p>
          <w:p w14:paraId="057A8203">
            <w:pPr>
              <w:pStyle w:val="18"/>
              <w:adjustRightInd w:val="0"/>
              <w:snapToGrid w:val="0"/>
              <w:spacing w:line="360" w:lineRule="auto"/>
              <w:jc w:val="center"/>
              <w:rPr>
                <w:rFonts w:hAnsi="宋体" w:cs="宋体"/>
                <w:color w:val="auto"/>
              </w:rPr>
            </w:pPr>
          </w:p>
        </w:tc>
      </w:tr>
    </w:tbl>
    <w:p w14:paraId="33DC0865">
      <w:pPr>
        <w:pStyle w:val="18"/>
        <w:adjustRightInd w:val="0"/>
        <w:snapToGrid w:val="0"/>
        <w:spacing w:line="360" w:lineRule="auto"/>
        <w:jc w:val="left"/>
        <w:rPr>
          <w:rFonts w:hAnsi="宋体" w:cs="宋体"/>
          <w:color w:val="auto"/>
        </w:rPr>
      </w:pPr>
    </w:p>
    <w:p w14:paraId="36FADD8C">
      <w:pPr>
        <w:tabs>
          <w:tab w:val="left" w:pos="1230"/>
        </w:tabs>
        <w:topLinePunct/>
        <w:autoSpaceDE w:val="0"/>
        <w:autoSpaceDN w:val="0"/>
        <w:adjustRightInd w:val="0"/>
        <w:snapToGrid w:val="0"/>
        <w:spacing w:after="0" w:line="360" w:lineRule="auto"/>
        <w:ind w:left="360"/>
        <w:rPr>
          <w:rFonts w:ascii="宋体" w:hAnsi="宋体" w:cs="宋体"/>
          <w:color w:val="auto"/>
        </w:rPr>
      </w:pPr>
    </w:p>
    <w:p w14:paraId="58A63F70">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投标人名称（公章）：________________</w:t>
      </w:r>
    </w:p>
    <w:p w14:paraId="3903587B">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法定代表人（签字或签章）：________________</w:t>
      </w:r>
    </w:p>
    <w:p w14:paraId="77FC6427">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被授权投标代表（签字）：________________</w:t>
      </w:r>
    </w:p>
    <w:p w14:paraId="1D17A8C4">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被授权投标代表联系电话：____________</w:t>
      </w:r>
    </w:p>
    <w:p w14:paraId="39537100">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日期：____________</w:t>
      </w:r>
    </w:p>
    <w:p w14:paraId="483179D5">
      <w:pPr>
        <w:topLinePunct/>
        <w:autoSpaceDE w:val="0"/>
        <w:autoSpaceDN w:val="0"/>
        <w:adjustRightInd w:val="0"/>
        <w:snapToGrid w:val="0"/>
        <w:spacing w:after="0" w:line="360" w:lineRule="auto"/>
        <w:jc w:val="left"/>
        <w:rPr>
          <w:rFonts w:hint="eastAsia" w:ascii="宋体" w:hAnsi="宋体" w:cs="宋体"/>
          <w:color w:val="auto"/>
        </w:rPr>
      </w:pPr>
    </w:p>
    <w:p w14:paraId="4B5E45B8">
      <w:pPr>
        <w:pStyle w:val="4"/>
        <w:rPr>
          <w:rFonts w:hint="eastAsia"/>
        </w:rPr>
      </w:pPr>
    </w:p>
    <w:p w14:paraId="4F867784">
      <w:pPr>
        <w:topLinePunct/>
        <w:autoSpaceDE w:val="0"/>
        <w:autoSpaceDN w:val="0"/>
        <w:adjustRightInd w:val="0"/>
        <w:snapToGrid w:val="0"/>
        <w:spacing w:after="0" w:line="360" w:lineRule="auto"/>
        <w:jc w:val="left"/>
        <w:rPr>
          <w:rFonts w:hint="eastAsia" w:ascii="宋体" w:hAnsi="宋体" w:cs="宋体"/>
          <w:i/>
          <w:iCs/>
          <w:color w:val="auto"/>
        </w:rPr>
      </w:pPr>
      <w:r>
        <w:rPr>
          <w:rFonts w:hint="eastAsia" w:ascii="宋体" w:hAnsi="宋体" w:cs="宋体"/>
          <w:color w:val="000000"/>
          <w:highlight w:val="white"/>
        </w:rPr>
        <w:t>特别说明:</w:t>
      </w:r>
    </w:p>
    <w:p w14:paraId="144B3B8F">
      <w:pPr>
        <w:tabs>
          <w:tab w:val="left" w:pos="312"/>
        </w:tabs>
        <w:topLinePunct/>
        <w:autoSpaceDE w:val="0"/>
        <w:autoSpaceDN w:val="0"/>
        <w:adjustRightInd w:val="0"/>
        <w:snapToGrid w:val="0"/>
        <w:spacing w:after="0" w:line="360" w:lineRule="auto"/>
        <w:ind w:firstLine="420" w:firstLineChars="200"/>
        <w:rPr>
          <w:rFonts w:ascii="宋体" w:hAnsi="宋体" w:cs="宋体"/>
          <w:color w:val="auto"/>
        </w:rPr>
      </w:pPr>
      <w:r>
        <w:rPr>
          <w:rFonts w:hint="eastAsia" w:ascii="宋体" w:hAnsi="宋体" w:cs="宋体"/>
          <w:color w:val="000000"/>
          <w:highlight w:val="white"/>
        </w:rPr>
        <w:t>1.投标人如由被授权投标代表参与投标活动的，须同时提供《法定代表人授权委托书》和被授权投标代表身份证复印件。《法定代表人授权委托书》应当按</w:t>
      </w:r>
      <w:r>
        <w:rPr>
          <w:rFonts w:hint="eastAsia" w:ascii="宋体" w:hAnsi="宋体" w:cs="宋体"/>
          <w:color w:val="000000"/>
          <w:highlight w:val="white"/>
          <w:lang w:eastAsia="zh-CN"/>
        </w:rPr>
        <w:t>本</w:t>
      </w:r>
      <w:r>
        <w:rPr>
          <w:rFonts w:hint="eastAsia" w:ascii="宋体" w:hAnsi="宋体" w:cs="宋体"/>
          <w:color w:val="000000"/>
          <w:highlight w:val="white"/>
        </w:rPr>
        <w:t>格式要求加盖与投标人名称全称一致的标准公章，并签署法定代表人或被授权投标代表的全名或加盖名章之后，上传扫描件。</w:t>
      </w:r>
    </w:p>
    <w:p w14:paraId="1D526F3F">
      <w:r>
        <w:rPr>
          <w:rFonts w:hint="eastAsia" w:ascii="宋体" w:hAnsi="宋体" w:cs="宋体"/>
          <w:color w:val="000000"/>
          <w:highlight w:val="white"/>
        </w:rPr>
        <w:t>2.</w:t>
      </w:r>
      <w:r>
        <w:rPr>
          <w:rFonts w:hint="eastAsia" w:ascii="宋体" w:hAnsi="宋体" w:cs="宋体"/>
          <w:b/>
          <w:bCs/>
          <w:color w:val="000000"/>
          <w:highlight w:val="white"/>
        </w:rPr>
        <w:t>投标人如由法定代表人作为投标代表参与投标活动的，仅须提供法定代表人身份证复印件。</w:t>
      </w:r>
    </w:p>
    <w:p w14:paraId="10BE0835">
      <w:pPr>
        <w:topLinePunct/>
        <w:autoSpaceDE w:val="0"/>
        <w:autoSpaceDN w:val="0"/>
        <w:adjustRightInd w:val="0"/>
        <w:snapToGrid w:val="0"/>
        <w:spacing w:after="0" w:line="360" w:lineRule="auto"/>
        <w:jc w:val="center"/>
        <w:rPr>
          <w:rFonts w:hAnsi="宋体" w:cs="宋体"/>
          <w:color w:val="auto"/>
        </w:rPr>
      </w:pPr>
      <w:r>
        <w:rPr>
          <w:color w:val="000000"/>
          <w:highlight w:val="white"/>
        </w:rPr>
        <w:br w:type="page"/>
      </w:r>
      <w:r>
        <w:rPr>
          <w:rFonts w:hint="eastAsia" w:ascii="宋体" w:hAnsi="宋体" w:cs="宋体"/>
          <w:b/>
          <w:bCs/>
          <w:color w:val="000000"/>
          <w:sz w:val="36"/>
          <w:szCs w:val="36"/>
          <w:highlight w:val="white"/>
        </w:rPr>
        <w:t>格式4 投标函</w:t>
      </w:r>
    </w:p>
    <w:p w14:paraId="3D90C960">
      <w:pPr>
        <w:pStyle w:val="18"/>
        <w:topLinePunct/>
        <w:autoSpaceDE w:val="0"/>
        <w:autoSpaceDN w:val="0"/>
        <w:adjustRightInd w:val="0"/>
        <w:snapToGrid w:val="0"/>
        <w:spacing w:line="360" w:lineRule="auto"/>
        <w:rPr>
          <w:rFonts w:hint="eastAsia" w:hAnsi="宋体" w:cs="宋体"/>
          <w:color w:val="auto"/>
          <w:sz w:val="24"/>
        </w:rPr>
      </w:pPr>
    </w:p>
    <w:p w14:paraId="26AA33B5">
      <w:pPr>
        <w:pStyle w:val="18"/>
        <w:keepNext w:val="0"/>
        <w:keepLines w:val="0"/>
        <w:pageBreakBefore w:val="0"/>
        <w:widowControl w:val="0"/>
        <w:kinsoku/>
        <w:wordWrap/>
        <w:overflowPunct/>
        <w:topLinePunct/>
        <w:autoSpaceDE w:val="0"/>
        <w:autoSpaceDN w:val="0"/>
        <w:bidi w:val="0"/>
        <w:adjustRightInd w:val="0"/>
        <w:snapToGrid w:val="0"/>
        <w:spacing w:after="0" w:line="360" w:lineRule="auto"/>
        <w:ind w:firstLine="0" w:firstLineChars="0"/>
        <w:textAlignment w:val="auto"/>
        <w:rPr>
          <w:rFonts w:hint="eastAsia" w:hAnsi="宋体"/>
          <w:color w:val="auto"/>
          <w:sz w:val="24"/>
        </w:rPr>
      </w:pPr>
      <w:r>
        <w:rPr>
          <w:rFonts w:hint="eastAsia" w:hAnsi="宋体" w:cs="宋体"/>
          <w:color w:val="000000"/>
          <w:sz w:val="24"/>
          <w:highlight w:val="white"/>
        </w:rPr>
        <w:t>致：</w:t>
      </w:r>
      <w:r>
        <w:rPr>
          <w:rFonts w:hint="eastAsia" w:hAnsi="宋体"/>
          <w:color w:val="000000"/>
          <w:sz w:val="24"/>
          <w:highlight w:val="white"/>
          <w:u w:val="single"/>
        </w:rPr>
        <w:t xml:space="preserve">        </w:t>
      </w:r>
      <w:r>
        <w:rPr>
          <w:rFonts w:hint="eastAsia" w:hAnsi="宋体"/>
          <w:color w:val="000000"/>
          <w:sz w:val="24"/>
          <w:highlight w:val="white"/>
          <w:lang w:eastAsia="zh-CN"/>
        </w:rPr>
        <w:t>（采购人名称）</w:t>
      </w:r>
    </w:p>
    <w:p w14:paraId="5AA7A858">
      <w:pPr>
        <w:pStyle w:val="18"/>
        <w:keepNext w:val="0"/>
        <w:keepLines w:val="0"/>
        <w:pageBreakBefore w:val="0"/>
        <w:widowControl w:val="0"/>
        <w:kinsoku/>
        <w:wordWrap/>
        <w:overflowPunct/>
        <w:topLinePunct/>
        <w:autoSpaceDE w:val="0"/>
        <w:autoSpaceDN w:val="0"/>
        <w:bidi w:val="0"/>
        <w:adjustRightInd w:val="0"/>
        <w:snapToGrid w:val="0"/>
        <w:spacing w:beforeAutospacing="0" w:line="360" w:lineRule="auto"/>
        <w:ind w:firstLine="480" w:firstLineChars="200"/>
        <w:textAlignment w:val="auto"/>
        <w:rPr>
          <w:rFonts w:hAnsi="宋体" w:cs="宋体"/>
          <w:color w:val="auto"/>
          <w:sz w:val="24"/>
        </w:rPr>
      </w:pPr>
      <w:r>
        <w:rPr>
          <w:rFonts w:hint="eastAsia" w:hAnsi="宋体" w:cs="宋体"/>
          <w:color w:val="000000"/>
          <w:sz w:val="24"/>
          <w:highlight w:val="white"/>
        </w:rPr>
        <w:t>根据______（项目名称）（项目编号：______）的招标公告，______（姓名、职务）代表投标人______（投标人名称、地址）参加项目招标的有关活动。据此函，作如下承诺：</w:t>
      </w:r>
    </w:p>
    <w:p w14:paraId="64B00D92">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1.同意在本项目招标文件中规定的开标日起</w:t>
      </w:r>
      <w:r>
        <w:rPr>
          <w:rFonts w:hint="eastAsia" w:cs="宋体"/>
          <w:color w:val="000000"/>
          <w:sz w:val="24"/>
          <w:highlight w:val="white"/>
          <w:u w:val="single"/>
        </w:rPr>
        <w:t>120天</w:t>
      </w:r>
      <w:r>
        <w:rPr>
          <w:rFonts w:hint="eastAsia" w:cs="宋体"/>
          <w:color w:val="000000"/>
          <w:sz w:val="24"/>
          <w:highlight w:val="white"/>
        </w:rPr>
        <w:t>遵守本投标文件中的承诺，且在期满之前均具有约束力。</w:t>
      </w:r>
    </w:p>
    <w:p w14:paraId="66F9B56C">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2.具备政府采购相关法律法规规定的参加政府采购活动的供应商应当具备的条件：</w:t>
      </w:r>
    </w:p>
    <w:p w14:paraId="0E42E51A">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（1）具有独立承担民事责任的能力；</w:t>
      </w:r>
    </w:p>
    <w:p w14:paraId="36FAC50B">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（2）具有良好的商业信誉和健全的财务会计制度；</w:t>
      </w:r>
    </w:p>
    <w:p w14:paraId="4DCBDE0F">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（3）具有履行合同所必需的设备和专业技术能力；</w:t>
      </w:r>
    </w:p>
    <w:p w14:paraId="78B9095C">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（4）有依法缴纳税收和社会保障资金的良好记录；</w:t>
      </w:r>
    </w:p>
    <w:p w14:paraId="28BC0F62">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（5）参加此项采购活动前三年内，在经营活动中没有重大违法记录。</w:t>
      </w:r>
    </w:p>
    <w:p w14:paraId="75006DB3">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 xml:space="preserve">（6）法律、行政法规规定的其他条件。 </w:t>
      </w:r>
    </w:p>
    <w:p w14:paraId="693357D4">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3.具备本项目招标文件中规定的其他要求和资质条件。</w:t>
      </w:r>
    </w:p>
    <w:p w14:paraId="5AD88F19">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4.提供投标人须知规定的全部投标文件。</w:t>
      </w:r>
    </w:p>
    <w:p w14:paraId="7E146EE2">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5.已详细审阅全部招标文件（包括招标文件澄清函），理解投标人须知的所有条款。</w:t>
      </w:r>
    </w:p>
    <w:p w14:paraId="71881CDC">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6.完全理解贵方“最低报价不能作为中标的保证”的规定。</w:t>
      </w:r>
    </w:p>
    <w:p w14:paraId="00416EB0">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7.接受招标文件中全部合同条款，且无任何异议；保证忠实地执行双方所签订的合同，并承担合同规定的责任和义务。</w:t>
      </w:r>
    </w:p>
    <w:p w14:paraId="7483099C">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8.完全满足和响应招标文件中的各项商务和技术要求，若有偏差，已在投标文件中明确说明。</w:t>
      </w:r>
    </w:p>
    <w:p w14:paraId="73530850">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9.愿意提供任何与投标有关的数据、情况和技术资料等。若贵方需要，愿意提供一切证明材料。</w:t>
      </w:r>
    </w:p>
    <w:p w14:paraId="4474656C">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10.我方已详细审核全部投标文件、参考资料及有关附件，确认无误。</w:t>
      </w:r>
    </w:p>
    <w:p w14:paraId="05E4DAEF">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hint="eastAsia" w:cs="宋体"/>
          <w:color w:val="auto"/>
          <w:sz w:val="24"/>
        </w:rPr>
      </w:pPr>
      <w:r>
        <w:rPr>
          <w:rFonts w:hint="eastAsia" w:cs="宋体"/>
          <w:color w:val="000000"/>
          <w:sz w:val="24"/>
          <w:highlight w:val="white"/>
        </w:rPr>
        <w:t>11.对本次招标内容及与本项目有关的知识产权、技术资料、商业秘密及相关信息保密。</w:t>
      </w:r>
    </w:p>
    <w:p w14:paraId="3235C639">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eastAsia" w:ascii="宋体" w:hAnsi="宋体" w:cs="宋体"/>
          <w:color w:val="auto"/>
        </w:rPr>
      </w:pPr>
      <w:r>
        <w:rPr>
          <w:rFonts w:hint="eastAsia" w:ascii="宋体" w:hAnsi="宋体" w:eastAsia="宋体" w:cs="宋体"/>
          <w:color w:val="000000"/>
          <w:sz w:val="24"/>
          <w:highlight w:val="white"/>
        </w:rPr>
        <w:t>12.</w:t>
      </w:r>
      <w:r>
        <w:rPr>
          <w:rFonts w:hint="eastAsia" w:ascii="宋体" w:hAnsi="宋体" w:eastAsia="宋体" w:cs="宋体"/>
          <w:color w:val="000000"/>
          <w:sz w:val="24"/>
          <w:highlight w:val="white"/>
          <w:lang w:val="en-US" w:eastAsia="zh-CN"/>
        </w:rPr>
        <w:t>承诺遵守政府采购法律法规及合同约定，对于存在相关失信行为的，接受采购人按照法律法规及合同约定的处理结果。</w:t>
      </w:r>
    </w:p>
    <w:p w14:paraId="428BCEEE">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default" w:ascii="宋体" w:hAnsi="宋体" w:cs="宋体"/>
          <w:color w:val="auto"/>
        </w:rPr>
      </w:pPr>
      <w:r>
        <w:rPr>
          <w:rFonts w:hint="default" w:ascii="宋体" w:hAnsi="宋体" w:eastAsia="宋体" w:cs="宋体"/>
          <w:color w:val="000000"/>
          <w:sz w:val="24"/>
          <w:highlight w:val="white"/>
        </w:rPr>
        <w:t>13.</w:t>
      </w:r>
      <w:r>
        <w:rPr>
          <w:rFonts w:hint="eastAsia" w:ascii="宋体" w:hAnsi="宋体" w:eastAsia="宋体" w:cs="宋体"/>
          <w:color w:val="000000"/>
          <w:sz w:val="24"/>
          <w:highlight w:val="white"/>
        </w:rPr>
        <w:t>已知悉并承诺遵守</w:t>
      </w:r>
      <w:r>
        <w:rPr>
          <w:rFonts w:hint="default" w:ascii="宋体" w:hAnsi="宋体" w:eastAsia="宋体" w:cs="宋体"/>
          <w:color w:val="000000"/>
          <w:sz w:val="24"/>
          <w:highlight w:val="white"/>
        </w:rPr>
        <w:t>采购文件中关于供应链安全管理</w:t>
      </w:r>
      <w:r>
        <w:rPr>
          <w:rFonts w:hint="eastAsia" w:cs="宋体"/>
          <w:color w:val="000000"/>
          <w:sz w:val="24"/>
          <w:highlight w:val="white"/>
          <w:lang w:val="en-US" w:eastAsia="zh-CN"/>
        </w:rPr>
        <w:t>（如有）</w:t>
      </w:r>
      <w:r>
        <w:rPr>
          <w:rFonts w:hint="default" w:ascii="宋体" w:hAnsi="宋体" w:eastAsia="宋体" w:cs="宋体"/>
          <w:color w:val="000000"/>
          <w:sz w:val="24"/>
          <w:highlight w:val="white"/>
        </w:rPr>
        <w:t>的全部要求。</w:t>
      </w:r>
    </w:p>
    <w:p w14:paraId="3FAB7D96">
      <w:pPr>
        <w:pStyle w:val="27"/>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leftChars="0" w:right="0" w:firstLine="480" w:firstLineChars="200"/>
        <w:jc w:val="both"/>
        <w:rPr>
          <w:rFonts w:cs="宋体"/>
          <w:color w:val="auto"/>
        </w:rPr>
      </w:pPr>
      <w:r>
        <w:rPr>
          <w:rFonts w:hint="eastAsia" w:ascii="宋体" w:hAnsi="宋体" w:eastAsia="宋体" w:cs="宋体"/>
          <w:color w:val="000000"/>
          <w:kern w:val="0"/>
          <w:sz w:val="24"/>
          <w:szCs w:val="24"/>
          <w:highlight w:val="white"/>
          <w:lang w:val="en-US" w:eastAsia="zh-CN" w:bidi="ar"/>
        </w:rPr>
        <w:t>14.我方提交的投标文件真实有效，承诺公平参与市场竞争，不存在围标串标行为。</w:t>
      </w:r>
    </w:p>
    <w:p w14:paraId="50FD9780">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14:paraId="099C4935">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14:paraId="3955DA00">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投标人名称（公章）：____________</w:t>
      </w:r>
    </w:p>
    <w:p w14:paraId="2429FCCA">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法定代表人（签字或签章）/被授权投标代表（签字）：____________</w:t>
      </w:r>
    </w:p>
    <w:p w14:paraId="6C33FEE0">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投标人地址：____________</w:t>
      </w:r>
    </w:p>
    <w:p w14:paraId="27EFB58F">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邮编：____________</w:t>
      </w:r>
    </w:p>
    <w:p w14:paraId="25094ECB">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电话：____________</w:t>
      </w:r>
    </w:p>
    <w:p w14:paraId="1ED2112B">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传真：____________</w:t>
      </w:r>
    </w:p>
    <w:p w14:paraId="7375AF4A">
      <w:pPr>
        <w:pStyle w:val="76"/>
        <w:numPr>
          <w:ilvl w:val="0"/>
          <w:numId w:val="0"/>
        </w:numPr>
        <w:tabs>
          <w:tab w:val="left" w:pos="420"/>
          <w:tab w:val="clear" w:pos="900"/>
        </w:tabs>
        <w:topLinePunct/>
        <w:autoSpaceDE w:val="0"/>
        <w:autoSpaceDN w:val="0"/>
        <w:snapToGrid w:val="0"/>
        <w:spacing w:after="0" w:line="360" w:lineRule="auto"/>
        <w:ind w:left="480"/>
        <w:rPr>
          <w:rFonts w:cs="宋体"/>
          <w:color w:val="auto"/>
        </w:rPr>
      </w:pPr>
      <w:r>
        <w:rPr>
          <w:rFonts w:hint="eastAsia" w:cs="宋体"/>
          <w:color w:val="000000"/>
          <w:sz w:val="24"/>
          <w:highlight w:val="white"/>
        </w:rPr>
        <w:t xml:space="preserve">日  期：____________          </w:t>
      </w:r>
    </w:p>
    <w:p w14:paraId="04B546CB">
      <w:pPr>
        <w:tabs>
          <w:tab w:val="left" w:pos="1230"/>
        </w:tabs>
        <w:topLinePunct/>
        <w:autoSpaceDE w:val="0"/>
        <w:autoSpaceDN w:val="0"/>
        <w:snapToGrid w:val="0"/>
        <w:spacing w:line="400" w:lineRule="exact"/>
        <w:ind w:left="360"/>
        <w:rPr>
          <w:rFonts w:ascii="宋体" w:hAnsi="宋体" w:cs="宋体"/>
          <w:color w:val="auto"/>
        </w:rPr>
      </w:pPr>
    </w:p>
    <w:p w14:paraId="6F6CB208">
      <w:pPr>
        <w:ind w:firstLine="420" w:firstLineChars="200"/>
        <w:rPr>
          <w:rFonts w:hAnsi="宋体" w:eastAsia="Times New Roman" w:cs="宋体"/>
          <w:color w:val="auto"/>
        </w:rPr>
      </w:pPr>
    </w:p>
    <w:p w14:paraId="4523D070">
      <w:pPr>
        <w:adjustRightInd w:val="0"/>
        <w:snapToGrid w:val="0"/>
        <w:spacing w:after="0" w:line="360" w:lineRule="auto"/>
        <w:ind w:firstLine="0" w:firstLineChars="0"/>
        <w:jc w:val="both"/>
        <w:rPr>
          <w:rFonts w:hint="eastAsia" w:ascii="宋体" w:hAnsi="宋体" w:cs="宋体"/>
          <w:color w:val="auto"/>
        </w:rPr>
      </w:pPr>
      <w:r>
        <w:rPr>
          <w:rFonts w:hint="eastAsia" w:ascii="宋体" w:hAnsi="宋体" w:cs="宋体"/>
          <w:color w:val="000000"/>
          <w:highlight w:val="white"/>
        </w:rPr>
        <w:t>特别说明：</w:t>
      </w:r>
    </w:p>
    <w:p w14:paraId="5A5DB399">
      <w:pPr>
        <w:adjustRightInd w:val="0"/>
        <w:snapToGrid w:val="0"/>
        <w:spacing w:after="0" w:line="360" w:lineRule="auto"/>
        <w:ind w:firstLine="420" w:firstLineChars="200"/>
        <w:jc w:val="left"/>
        <w:rPr>
          <w:rFonts w:hint="eastAsia" w:ascii="宋体" w:hAnsi="宋体" w:cs="宋体"/>
          <w:color w:val="auto"/>
          <w:szCs w:val="21"/>
          <w:highlight w:val="none"/>
        </w:rPr>
      </w:pPr>
      <w:r>
        <w:rPr>
          <w:rFonts w:hint="eastAsia" w:ascii="宋体" w:hAnsi="宋体" w:cs="宋体"/>
          <w:b w:val="0"/>
          <w:bCs w:val="0"/>
          <w:color w:val="000000"/>
          <w:sz w:val="21"/>
          <w:szCs w:val="21"/>
          <w:highlight w:val="white"/>
          <w:lang w:eastAsia="zh-CN"/>
        </w:rPr>
        <w:t>投标人</w:t>
      </w:r>
      <w:r>
        <w:rPr>
          <w:rFonts w:hint="eastAsia" w:ascii="宋体" w:hAnsi="宋体" w:cs="宋体"/>
          <w:color w:val="000000"/>
          <w:sz w:val="21"/>
          <w:szCs w:val="21"/>
          <w:highlight w:val="white"/>
        </w:rPr>
        <w:t>应当按</w:t>
      </w:r>
      <w:r>
        <w:rPr>
          <w:rFonts w:hint="eastAsia" w:ascii="宋体" w:hAnsi="宋体" w:cs="宋体"/>
          <w:color w:val="000000"/>
          <w:sz w:val="21"/>
          <w:szCs w:val="21"/>
          <w:highlight w:val="white"/>
          <w:lang w:eastAsia="zh-CN"/>
        </w:rPr>
        <w:t>上述</w:t>
      </w:r>
      <w:r>
        <w:rPr>
          <w:rFonts w:hint="eastAsia" w:ascii="宋体" w:hAnsi="宋体" w:cs="宋体"/>
          <w:color w:val="000000"/>
          <w:sz w:val="21"/>
          <w:szCs w:val="21"/>
          <w:highlight w:val="white"/>
        </w:rPr>
        <w:t>格式要求加盖与投标人名称全称一致的标准公章，并签署法定代表人或</w:t>
      </w:r>
      <w:r>
        <w:rPr>
          <w:rFonts w:hint="eastAsia" w:ascii="宋体" w:hAnsi="宋体" w:cs="宋体"/>
          <w:b w:val="0"/>
          <w:bCs/>
          <w:color w:val="000000"/>
          <w:sz w:val="21"/>
          <w:szCs w:val="21"/>
          <w:highlight w:val="white"/>
        </w:rPr>
        <w:t>被授权投标代表</w:t>
      </w:r>
      <w:r>
        <w:rPr>
          <w:rFonts w:hint="eastAsia" w:ascii="宋体" w:hAnsi="宋体" w:cs="宋体"/>
          <w:color w:val="000000"/>
          <w:sz w:val="21"/>
          <w:szCs w:val="21"/>
          <w:highlight w:val="white"/>
        </w:rPr>
        <w:t>的全名或加盖名章</w:t>
      </w:r>
      <w:r>
        <w:rPr>
          <w:rFonts w:hint="eastAsia" w:ascii="宋体" w:hAnsi="宋体" w:cs="宋体"/>
          <w:color w:val="000000"/>
          <w:sz w:val="21"/>
          <w:szCs w:val="21"/>
          <w:highlight w:val="white"/>
          <w:lang w:eastAsia="zh-CN"/>
        </w:rPr>
        <w:t>之后，上传扫描件。</w:t>
      </w:r>
    </w:p>
    <w:p w14:paraId="2D9A3F9F">
      <w:pPr>
        <w:adjustRightInd w:val="0"/>
        <w:snapToGrid w:val="0"/>
        <w:spacing w:after="0" w:line="360" w:lineRule="auto"/>
        <w:ind w:firstLine="420" w:firstLineChars="200"/>
        <w:jc w:val="left"/>
      </w:pPr>
    </w:p>
    <w:p w14:paraId="49C4F4ED">
      <w:pPr>
        <w:spacing w:line="360" w:lineRule="auto"/>
        <w:jc w:val="center"/>
        <w:rPr>
          <w:rFonts w:ascii="宋体" w:hAnsi="宋体" w:cs="宋体"/>
          <w:b/>
          <w:bCs/>
          <w:color w:val="auto"/>
          <w:sz w:val="36"/>
          <w:szCs w:val="36"/>
        </w:rPr>
      </w:pPr>
      <w:r>
        <w:rPr>
          <w:color w:val="000000"/>
          <w:highlight w:val="white"/>
        </w:rPr>
        <w:br w:type="page"/>
      </w:r>
      <w:bookmarkStart w:id="0" w:name="_GoBack"/>
      <w:r>
        <w:rPr>
          <w:rFonts w:hint="eastAsia" w:ascii="宋体" w:hAnsi="宋体" w:cs="宋体"/>
          <w:b/>
          <w:bCs/>
          <w:color w:val="000000"/>
          <w:sz w:val="36"/>
          <w:szCs w:val="36"/>
          <w:highlight w:val="white"/>
        </w:rPr>
        <w:t>格式5 商务条款偏离表</w:t>
      </w:r>
    </w:p>
    <w:p w14:paraId="4025FBD7">
      <w:pPr>
        <w:topLinePunct/>
        <w:autoSpaceDE w:val="0"/>
        <w:autoSpaceDN w:val="0"/>
        <w:spacing w:line="460" w:lineRule="exact"/>
        <w:jc w:val="center"/>
        <w:rPr>
          <w:rFonts w:ascii="宋体" w:hAnsi="宋体" w:cs="宋体"/>
          <w:color w:val="auto"/>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999"/>
        <w:gridCol w:w="1575"/>
        <w:gridCol w:w="1575"/>
        <w:gridCol w:w="1749"/>
        <w:gridCol w:w="546"/>
      </w:tblGrid>
      <w:tr w14:paraId="0089E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4D9DA93A">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序号</w:t>
            </w:r>
          </w:p>
        </w:tc>
        <w:tc>
          <w:tcPr>
            <w:tcW w:w="1999" w:type="dxa"/>
            <w:tcBorders>
              <w:top w:val="single" w:color="auto" w:sz="4" w:space="0"/>
              <w:left w:val="single" w:color="auto" w:sz="4" w:space="0"/>
              <w:bottom w:val="single" w:color="auto" w:sz="4" w:space="0"/>
              <w:right w:val="single" w:color="auto" w:sz="4" w:space="0"/>
            </w:tcBorders>
            <w:vAlign w:val="center"/>
          </w:tcPr>
          <w:p w14:paraId="737B87A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招标文件条目号</w:t>
            </w:r>
          </w:p>
        </w:tc>
        <w:tc>
          <w:tcPr>
            <w:tcW w:w="1575" w:type="dxa"/>
            <w:tcBorders>
              <w:top w:val="single" w:color="auto" w:sz="4" w:space="0"/>
              <w:left w:val="single" w:color="auto" w:sz="4" w:space="0"/>
              <w:bottom w:val="single" w:color="auto" w:sz="4" w:space="0"/>
              <w:right w:val="single" w:color="auto" w:sz="4" w:space="0"/>
            </w:tcBorders>
            <w:vAlign w:val="center"/>
          </w:tcPr>
          <w:p w14:paraId="206B0458">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14:paraId="223B608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商务条款</w:t>
            </w:r>
          </w:p>
        </w:tc>
        <w:tc>
          <w:tcPr>
            <w:tcW w:w="1575" w:type="dxa"/>
            <w:tcBorders>
              <w:top w:val="single" w:color="auto" w:sz="4" w:space="0"/>
              <w:left w:val="single" w:color="auto" w:sz="4" w:space="0"/>
              <w:bottom w:val="single" w:color="auto" w:sz="4" w:space="0"/>
              <w:right w:val="single" w:color="auto" w:sz="4" w:space="0"/>
            </w:tcBorders>
            <w:vAlign w:val="center"/>
          </w:tcPr>
          <w:p w14:paraId="6811553E">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投标文件</w:t>
            </w:r>
          </w:p>
          <w:p w14:paraId="42B94BEB">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商务条款</w:t>
            </w:r>
          </w:p>
        </w:tc>
        <w:tc>
          <w:tcPr>
            <w:tcW w:w="1749" w:type="dxa"/>
            <w:tcBorders>
              <w:top w:val="single" w:color="auto" w:sz="4" w:space="0"/>
              <w:left w:val="single" w:color="auto" w:sz="4" w:space="0"/>
              <w:bottom w:val="single" w:color="auto" w:sz="4" w:space="0"/>
              <w:right w:val="single" w:color="auto" w:sz="4" w:space="0"/>
            </w:tcBorders>
            <w:vAlign w:val="center"/>
          </w:tcPr>
          <w:p w14:paraId="0FFB101E">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偏离</w:t>
            </w:r>
          </w:p>
          <w:p w14:paraId="594033FD">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（无/正/负）</w:t>
            </w:r>
          </w:p>
        </w:tc>
        <w:tc>
          <w:tcPr>
            <w:tcW w:w="546" w:type="dxa"/>
            <w:tcBorders>
              <w:top w:val="single" w:color="auto" w:sz="4" w:space="0"/>
              <w:left w:val="single" w:color="auto" w:sz="4" w:space="0"/>
              <w:bottom w:val="single" w:color="auto" w:sz="4" w:space="0"/>
              <w:right w:val="single" w:color="auto" w:sz="4" w:space="0"/>
            </w:tcBorders>
            <w:vAlign w:val="center"/>
          </w:tcPr>
          <w:p w14:paraId="6F953421">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说明</w:t>
            </w:r>
          </w:p>
        </w:tc>
      </w:tr>
      <w:tr w14:paraId="12310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10CD209B">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1</w:t>
            </w:r>
          </w:p>
        </w:tc>
        <w:tc>
          <w:tcPr>
            <w:tcW w:w="1999" w:type="dxa"/>
            <w:tcBorders>
              <w:top w:val="single" w:color="auto" w:sz="4" w:space="0"/>
              <w:left w:val="single" w:color="auto" w:sz="4" w:space="0"/>
              <w:bottom w:val="single" w:color="auto" w:sz="4" w:space="0"/>
              <w:right w:val="single" w:color="auto" w:sz="4" w:space="0"/>
            </w:tcBorders>
          </w:tcPr>
          <w:p w14:paraId="33232FBC">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14:paraId="40523F48">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14:paraId="728CF66A">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14:paraId="00085F29">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14:paraId="6E7768CE">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14:paraId="4E34E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0C97B46A">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2</w:t>
            </w:r>
          </w:p>
        </w:tc>
        <w:tc>
          <w:tcPr>
            <w:tcW w:w="1999" w:type="dxa"/>
            <w:tcBorders>
              <w:top w:val="single" w:color="auto" w:sz="4" w:space="0"/>
              <w:left w:val="single" w:color="auto" w:sz="4" w:space="0"/>
              <w:bottom w:val="single" w:color="auto" w:sz="4" w:space="0"/>
              <w:right w:val="single" w:color="auto" w:sz="4" w:space="0"/>
            </w:tcBorders>
          </w:tcPr>
          <w:p w14:paraId="4E753AD3">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14:paraId="11FE3970">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14:paraId="38450474">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14:paraId="38C78DB0">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14:paraId="15CF00E1">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14:paraId="3D9DD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600E8322">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3</w:t>
            </w:r>
          </w:p>
        </w:tc>
        <w:tc>
          <w:tcPr>
            <w:tcW w:w="1999" w:type="dxa"/>
            <w:tcBorders>
              <w:top w:val="single" w:color="auto" w:sz="4" w:space="0"/>
              <w:left w:val="single" w:color="auto" w:sz="4" w:space="0"/>
              <w:bottom w:val="single" w:color="auto" w:sz="4" w:space="0"/>
              <w:right w:val="single" w:color="auto" w:sz="4" w:space="0"/>
            </w:tcBorders>
          </w:tcPr>
          <w:p w14:paraId="445E3DD2">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14:paraId="75B8AAF0">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14:paraId="43DF0C5C">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14:paraId="4319141E">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14:paraId="3980CE76">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14:paraId="22A28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33B30001">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4</w:t>
            </w:r>
          </w:p>
        </w:tc>
        <w:tc>
          <w:tcPr>
            <w:tcW w:w="1999" w:type="dxa"/>
            <w:tcBorders>
              <w:top w:val="single" w:color="auto" w:sz="4" w:space="0"/>
              <w:left w:val="single" w:color="auto" w:sz="4" w:space="0"/>
              <w:bottom w:val="single" w:color="auto" w:sz="4" w:space="0"/>
              <w:right w:val="single" w:color="auto" w:sz="4" w:space="0"/>
            </w:tcBorders>
          </w:tcPr>
          <w:p w14:paraId="26F09027">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14:paraId="7667F1A9">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14:paraId="65F6CE68">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14:paraId="786A3120">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14:paraId="25A24E5A">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14:paraId="189C4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4B0F5CA3">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highlight w:val="white"/>
              </w:rPr>
              <w:t>……</w:t>
            </w:r>
          </w:p>
        </w:tc>
        <w:tc>
          <w:tcPr>
            <w:tcW w:w="1999" w:type="dxa"/>
            <w:tcBorders>
              <w:top w:val="single" w:color="auto" w:sz="4" w:space="0"/>
              <w:left w:val="single" w:color="auto" w:sz="4" w:space="0"/>
              <w:bottom w:val="single" w:color="auto" w:sz="4" w:space="0"/>
              <w:right w:val="single" w:color="auto" w:sz="4" w:space="0"/>
            </w:tcBorders>
          </w:tcPr>
          <w:p w14:paraId="3EDAD2CC">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14:paraId="5634069A">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14:paraId="0B0334A7">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14:paraId="0912EF57">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14:paraId="021531E5">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bl>
    <w:p w14:paraId="7565C32F">
      <w:pPr>
        <w:tabs>
          <w:tab w:val="left" w:pos="1230"/>
        </w:tabs>
        <w:topLinePunct/>
        <w:autoSpaceDE w:val="0"/>
        <w:autoSpaceDN w:val="0"/>
        <w:spacing w:after="0" w:line="360" w:lineRule="auto"/>
        <w:rPr>
          <w:rFonts w:hint="eastAsia" w:ascii="宋体" w:hAnsi="宋体" w:cs="宋体"/>
          <w:color w:val="auto"/>
          <w:szCs w:val="21"/>
        </w:rPr>
      </w:pPr>
    </w:p>
    <w:p w14:paraId="00F260E7">
      <w:pPr>
        <w:tabs>
          <w:tab w:val="left" w:pos="1230"/>
        </w:tabs>
        <w:topLinePunct/>
        <w:autoSpaceDE w:val="0"/>
        <w:autoSpaceDN w:val="0"/>
        <w:spacing w:after="0" w:line="360" w:lineRule="auto"/>
        <w:rPr>
          <w:rFonts w:ascii="宋体" w:hAnsi="宋体" w:cs="宋体"/>
          <w:color w:val="auto"/>
          <w:szCs w:val="21"/>
        </w:rPr>
      </w:pPr>
      <w:r>
        <w:rPr>
          <w:rFonts w:hint="eastAsia" w:ascii="宋体" w:hAnsi="宋体" w:cs="宋体"/>
          <w:color w:val="000000"/>
          <w:szCs w:val="21"/>
          <w:highlight w:val="white"/>
        </w:rPr>
        <w:t>特别说明：</w:t>
      </w:r>
    </w:p>
    <w:p w14:paraId="5FD86EEC">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color w:val="auto"/>
          <w:szCs w:val="21"/>
        </w:rPr>
      </w:pPr>
      <w:r>
        <w:rPr>
          <w:rFonts w:hint="eastAsia" w:ascii="宋体" w:hAnsi="宋体" w:cs="宋体"/>
          <w:color w:val="000000"/>
          <w:szCs w:val="21"/>
          <w:highlight w:val="white"/>
        </w:rPr>
        <w:t>1.商务条款无需条对条应答，如无偏离，请在此表中填写“无偏离”；如有偏离，请在此表中应答为“正</w:t>
      </w:r>
      <w:r>
        <w:rPr>
          <w:rFonts w:ascii="宋体" w:hAnsi="宋体" w:cs="宋体"/>
          <w:color w:val="000000"/>
          <w:szCs w:val="21"/>
          <w:highlight w:val="white"/>
        </w:rPr>
        <w:t>/负偏离”并说明偏离情况。</w:t>
      </w:r>
    </w:p>
    <w:p w14:paraId="0B148CAD">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ascii="宋体" w:hAnsi="宋体" w:cs="宋体"/>
          <w:bCs/>
          <w:color w:val="000000"/>
          <w:szCs w:val="21"/>
          <w:highlight w:val="white"/>
        </w:rPr>
        <w:t>2.如《招标文件-商务部分》中有标注★号的，则为实质性要求，必须满足，如应答为“负偏离”，将导致投标无效。</w:t>
      </w:r>
    </w:p>
    <w:p w14:paraId="7FF2B926">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hint="eastAsia" w:ascii="宋体" w:hAnsi="宋体" w:cs="宋体"/>
          <w:bCs/>
          <w:color w:val="000000"/>
          <w:szCs w:val="21"/>
          <w:highlight w:val="white"/>
          <w:lang w:val="en-US" w:eastAsia="zh-CN"/>
        </w:rPr>
        <w:t>3</w:t>
      </w:r>
      <w:r>
        <w:rPr>
          <w:rFonts w:ascii="宋体" w:hAnsi="宋体" w:cs="宋体"/>
          <w:bCs/>
          <w:color w:val="000000"/>
          <w:szCs w:val="21"/>
          <w:highlight w:val="white"/>
        </w:rPr>
        <w:t>.本表可扩展。</w:t>
      </w:r>
    </w:p>
    <w:p w14:paraId="7DD60184">
      <w:pPr>
        <w:topLinePunct/>
        <w:autoSpaceDE w:val="0"/>
        <w:autoSpaceDN w:val="0"/>
        <w:spacing w:line="500" w:lineRule="exact"/>
        <w:rPr>
          <w:rFonts w:hAnsi="宋体"/>
          <w:color w:val="auto"/>
        </w:rPr>
      </w:pPr>
    </w:p>
    <w:p w14:paraId="0A75C234">
      <w:pPr>
        <w:tabs>
          <w:tab w:val="left" w:pos="1230"/>
        </w:tabs>
        <w:topLinePunct/>
        <w:autoSpaceDE w:val="0"/>
        <w:autoSpaceDN w:val="0"/>
        <w:spacing w:after="0" w:line="480" w:lineRule="auto"/>
        <w:ind w:firstLine="480" w:firstLineChars="200"/>
        <w:rPr>
          <w:rFonts w:ascii="宋体" w:hAnsi="宋体" w:cs="宋体"/>
          <w:color w:val="auto"/>
        </w:rPr>
      </w:pPr>
      <w:r>
        <w:rPr>
          <w:rFonts w:hint="eastAsia" w:ascii="宋体" w:hAnsi="宋体" w:cs="宋体"/>
          <w:color w:val="000000"/>
          <w:sz w:val="24"/>
          <w:highlight w:val="white"/>
        </w:rPr>
        <w:t>投标人名称（电子签章）：</w:t>
      </w:r>
    </w:p>
    <w:p w14:paraId="081F094D">
      <w:pPr>
        <w:spacing w:after="0" w:line="480" w:lineRule="auto"/>
        <w:ind w:firstLine="480" w:firstLineChars="200"/>
        <w:rPr>
          <w:rFonts w:hAnsi="宋体" w:cs="宋体"/>
          <w:color w:val="auto"/>
          <w:u w:val="single"/>
        </w:rPr>
      </w:pPr>
      <w:r>
        <w:rPr>
          <w:rFonts w:hint="eastAsia" w:hAnsi="宋体" w:cs="宋体"/>
          <w:color w:val="000000"/>
          <w:sz w:val="24"/>
          <w:highlight w:val="white"/>
        </w:rPr>
        <w:t>日期：</w:t>
      </w:r>
    </w:p>
    <w:p w14:paraId="4748F4BD"/>
    <w:p w14:paraId="45692A10">
      <w:pPr>
        <w:pStyle w:val="76"/>
        <w:numPr>
          <w:ilvl w:val="0"/>
          <w:numId w:val="0"/>
        </w:numPr>
        <w:tabs>
          <w:tab w:val="left" w:pos="420"/>
          <w:tab w:val="clear" w:pos="900"/>
        </w:tabs>
        <w:snapToGrid w:val="0"/>
        <w:spacing w:line="460" w:lineRule="atLeast"/>
        <w:ind w:left="0" w:firstLine="0"/>
        <w:jc w:val="center"/>
        <w:rPr>
          <w:rFonts w:cs="宋体"/>
          <w:color w:val="auto"/>
          <w:highlight w:val="none"/>
        </w:rPr>
      </w:pPr>
      <w:r>
        <w:rPr>
          <w:rFonts w:ascii="Times New Roman" w:hAnsi="Times New Roman" w:eastAsia="Times New Roman"/>
          <w:color w:val="000000"/>
          <w:sz w:val="24"/>
          <w:szCs w:val="24"/>
          <w:highlight w:val="white"/>
          <w:lang w:eastAsia="en-US"/>
        </w:rPr>
        <w:br w:type="page"/>
      </w:r>
      <w:r>
        <w:rPr>
          <w:rFonts w:hint="eastAsia" w:cs="宋体"/>
          <w:b/>
          <w:bCs/>
          <w:color w:val="000000"/>
          <w:kern w:val="44"/>
          <w:sz w:val="36"/>
          <w:szCs w:val="36"/>
          <w:highlight w:val="white"/>
        </w:rPr>
        <w:t>格式6 成功案例一览表</w:t>
      </w:r>
    </w:p>
    <w:tbl>
      <w:tblPr>
        <w:tblStyle w:val="30"/>
        <w:tblpPr w:leftFromText="180" w:rightFromText="180" w:vertAnchor="text" w:horzAnchor="page" w:tblpX="1886" w:tblpY="185"/>
        <w:tblOverlap w:val="never"/>
        <w:tblW w:w="83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14:paraId="053EA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0" w:type="dxa"/>
            <w:tcBorders>
              <w:top w:val="single" w:color="auto" w:sz="4" w:space="0"/>
              <w:left w:val="single" w:color="auto" w:sz="4" w:space="0"/>
              <w:bottom w:val="single" w:color="auto" w:sz="4" w:space="0"/>
              <w:right w:val="single" w:color="auto" w:sz="4" w:space="0"/>
            </w:tcBorders>
            <w:noWrap/>
            <w:vAlign w:val="center"/>
          </w:tcPr>
          <w:p w14:paraId="0143FDD0">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序号</w:t>
            </w:r>
          </w:p>
        </w:tc>
        <w:tc>
          <w:tcPr>
            <w:tcW w:w="819" w:type="dxa"/>
            <w:tcBorders>
              <w:top w:val="single" w:color="auto" w:sz="4" w:space="0"/>
              <w:left w:val="single" w:color="auto" w:sz="4" w:space="0"/>
              <w:bottom w:val="single" w:color="auto" w:sz="4" w:space="0"/>
              <w:right w:val="single" w:color="auto" w:sz="4" w:space="0"/>
            </w:tcBorders>
            <w:noWrap/>
            <w:vAlign w:val="center"/>
          </w:tcPr>
          <w:p w14:paraId="7B4B3783">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合同</w:t>
            </w:r>
          </w:p>
          <w:p w14:paraId="48B6B182">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名称</w:t>
            </w:r>
          </w:p>
        </w:tc>
        <w:tc>
          <w:tcPr>
            <w:tcW w:w="864" w:type="dxa"/>
            <w:tcBorders>
              <w:top w:val="single" w:color="auto" w:sz="4" w:space="0"/>
              <w:left w:val="single" w:color="auto" w:sz="4" w:space="0"/>
              <w:bottom w:val="single" w:color="auto" w:sz="4" w:space="0"/>
              <w:right w:val="single" w:color="auto" w:sz="4" w:space="0"/>
            </w:tcBorders>
            <w:noWrap/>
            <w:vAlign w:val="center"/>
          </w:tcPr>
          <w:p w14:paraId="529D7C90">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合同</w:t>
            </w:r>
          </w:p>
          <w:p w14:paraId="6DE85879">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甲方</w:t>
            </w:r>
          </w:p>
        </w:tc>
        <w:tc>
          <w:tcPr>
            <w:tcW w:w="707" w:type="dxa"/>
            <w:tcBorders>
              <w:top w:val="single" w:color="auto" w:sz="4" w:space="0"/>
              <w:left w:val="single" w:color="auto" w:sz="4" w:space="0"/>
              <w:bottom w:val="single" w:color="auto" w:sz="4" w:space="0"/>
              <w:right w:val="single" w:color="auto" w:sz="4" w:space="0"/>
            </w:tcBorders>
            <w:noWrap/>
            <w:vAlign w:val="center"/>
          </w:tcPr>
          <w:p w14:paraId="6842E302">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合同时间</w:t>
            </w:r>
          </w:p>
        </w:tc>
        <w:tc>
          <w:tcPr>
            <w:tcW w:w="744" w:type="dxa"/>
            <w:tcBorders>
              <w:top w:val="single" w:color="auto" w:sz="4" w:space="0"/>
              <w:left w:val="single" w:color="auto" w:sz="4" w:space="0"/>
              <w:bottom w:val="single" w:color="auto" w:sz="4" w:space="0"/>
              <w:right w:val="single" w:color="auto" w:sz="4" w:space="0"/>
            </w:tcBorders>
            <w:noWrap/>
            <w:vAlign w:val="center"/>
          </w:tcPr>
          <w:p w14:paraId="2ABE5979">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合同</w:t>
            </w:r>
          </w:p>
          <w:p w14:paraId="7DFAB0AB">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金额</w:t>
            </w:r>
          </w:p>
        </w:tc>
        <w:tc>
          <w:tcPr>
            <w:tcW w:w="1221" w:type="dxa"/>
            <w:tcBorders>
              <w:top w:val="single" w:color="auto" w:sz="4" w:space="0"/>
              <w:left w:val="single" w:color="auto" w:sz="4" w:space="0"/>
              <w:bottom w:val="single" w:color="auto" w:sz="4" w:space="0"/>
              <w:right w:val="single" w:color="auto" w:sz="4" w:space="0"/>
            </w:tcBorders>
            <w:noWrap/>
            <w:vAlign w:val="center"/>
          </w:tcPr>
          <w:p w14:paraId="47F149FA">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合同主要</w:t>
            </w:r>
          </w:p>
          <w:p w14:paraId="2DC86A05">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内容</w:t>
            </w:r>
          </w:p>
        </w:tc>
        <w:tc>
          <w:tcPr>
            <w:tcW w:w="1161" w:type="dxa"/>
            <w:tcBorders>
              <w:top w:val="single" w:color="auto" w:sz="4" w:space="0"/>
              <w:left w:val="single" w:color="auto" w:sz="4" w:space="0"/>
              <w:bottom w:val="single" w:color="auto" w:sz="4" w:space="0"/>
              <w:right w:val="single" w:color="auto" w:sz="4" w:space="0"/>
            </w:tcBorders>
            <w:noWrap/>
            <w:vAlign w:val="center"/>
          </w:tcPr>
          <w:p w14:paraId="5CAC2E21">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用  户</w:t>
            </w:r>
          </w:p>
          <w:p w14:paraId="0AA0C9CB">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联系人</w:t>
            </w:r>
          </w:p>
        </w:tc>
        <w:tc>
          <w:tcPr>
            <w:tcW w:w="1065" w:type="dxa"/>
            <w:tcBorders>
              <w:top w:val="single" w:color="auto" w:sz="4" w:space="0"/>
              <w:left w:val="single" w:color="auto" w:sz="4" w:space="0"/>
              <w:bottom w:val="single" w:color="auto" w:sz="4" w:space="0"/>
              <w:right w:val="single" w:color="auto" w:sz="4" w:space="0"/>
            </w:tcBorders>
            <w:noWrap/>
            <w:vAlign w:val="center"/>
          </w:tcPr>
          <w:p w14:paraId="6D6EBCD0">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用户联</w:t>
            </w:r>
          </w:p>
          <w:p w14:paraId="0E3349BA">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系电话</w:t>
            </w:r>
          </w:p>
        </w:tc>
        <w:tc>
          <w:tcPr>
            <w:tcW w:w="968" w:type="dxa"/>
            <w:tcBorders>
              <w:top w:val="single" w:color="auto" w:sz="4" w:space="0"/>
              <w:left w:val="single" w:color="auto" w:sz="4" w:space="0"/>
              <w:bottom w:val="single" w:color="auto" w:sz="4" w:space="0"/>
              <w:right w:val="single" w:color="auto" w:sz="4" w:space="0"/>
            </w:tcBorders>
            <w:noWrap/>
            <w:vAlign w:val="center"/>
          </w:tcPr>
          <w:p w14:paraId="18397606">
            <w:pPr>
              <w:topLinePunct/>
              <w:autoSpaceDE w:val="0"/>
              <w:autoSpaceDN w:val="0"/>
              <w:adjustRightInd w:val="0"/>
              <w:snapToGrid w:val="0"/>
              <w:spacing w:after="0" w:line="240" w:lineRule="auto"/>
              <w:jc w:val="center"/>
              <w:rPr>
                <w:rFonts w:ascii="宋体" w:hAnsi="宋体" w:cs="宋体"/>
                <w:b/>
                <w:color w:val="auto"/>
                <w:highlight w:val="none"/>
              </w:rPr>
            </w:pPr>
            <w:r>
              <w:rPr>
                <w:rFonts w:hint="eastAsia" w:ascii="宋体" w:hAnsi="宋体" w:cs="宋体"/>
                <w:b/>
                <w:color w:val="000000"/>
                <w:sz w:val="24"/>
                <w:highlight w:val="white"/>
              </w:rPr>
              <w:t>备注</w:t>
            </w:r>
          </w:p>
        </w:tc>
      </w:tr>
      <w:tr w14:paraId="74A6A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14:paraId="37F1A0DA">
            <w:pPr>
              <w:topLinePunct/>
              <w:autoSpaceDE w:val="0"/>
              <w:autoSpaceDN w:val="0"/>
              <w:adjustRightInd w:val="0"/>
              <w:snapToGrid w:val="0"/>
              <w:spacing w:after="0" w:line="240" w:lineRule="auto"/>
              <w:jc w:val="center"/>
              <w:rPr>
                <w:rFonts w:ascii="宋体" w:hAnsi="宋体" w:cs="宋体"/>
                <w:color w:val="auto"/>
                <w:highlight w:val="none"/>
              </w:rPr>
            </w:pPr>
            <w:r>
              <w:rPr>
                <w:rFonts w:hint="eastAsia" w:ascii="宋体" w:hAnsi="宋体" w:cs="宋体"/>
                <w:color w:val="000000"/>
                <w:sz w:val="24"/>
                <w:highlight w:val="white"/>
              </w:rPr>
              <w:t>1</w:t>
            </w:r>
          </w:p>
        </w:tc>
        <w:tc>
          <w:tcPr>
            <w:tcW w:w="819" w:type="dxa"/>
            <w:tcBorders>
              <w:top w:val="single" w:color="auto" w:sz="4" w:space="0"/>
              <w:left w:val="single" w:color="auto" w:sz="4" w:space="0"/>
              <w:bottom w:val="single" w:color="auto" w:sz="4" w:space="0"/>
              <w:right w:val="single" w:color="auto" w:sz="4" w:space="0"/>
            </w:tcBorders>
            <w:noWrap/>
            <w:vAlign w:val="center"/>
          </w:tcPr>
          <w:p w14:paraId="598E57F2">
            <w:pPr>
              <w:topLinePunct/>
              <w:autoSpaceDE w:val="0"/>
              <w:autoSpaceDN w:val="0"/>
              <w:adjustRightInd w:val="0"/>
              <w:snapToGrid w:val="0"/>
              <w:spacing w:after="0" w:line="240" w:lineRule="auto"/>
              <w:jc w:val="center"/>
              <w:rPr>
                <w:rFonts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14:paraId="151D6A52">
            <w:pPr>
              <w:topLinePunct/>
              <w:autoSpaceDE w:val="0"/>
              <w:autoSpaceDN w:val="0"/>
              <w:adjustRightInd w:val="0"/>
              <w:snapToGrid w:val="0"/>
              <w:spacing w:after="0" w:line="240" w:lineRule="auto"/>
              <w:jc w:val="center"/>
              <w:rPr>
                <w:rFonts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tcPr>
          <w:p w14:paraId="4E803D12">
            <w:pPr>
              <w:topLinePunct/>
              <w:autoSpaceDE w:val="0"/>
              <w:autoSpaceDN w:val="0"/>
              <w:adjustRightInd w:val="0"/>
              <w:snapToGrid w:val="0"/>
              <w:spacing w:after="0" w:line="240" w:lineRule="auto"/>
              <w:jc w:val="center"/>
              <w:rPr>
                <w:rFonts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14:paraId="7282CD23">
            <w:pPr>
              <w:topLinePunct/>
              <w:autoSpaceDE w:val="0"/>
              <w:autoSpaceDN w:val="0"/>
              <w:adjustRightInd w:val="0"/>
              <w:snapToGrid w:val="0"/>
              <w:spacing w:after="0" w:line="240" w:lineRule="auto"/>
              <w:jc w:val="center"/>
              <w:rPr>
                <w:rFonts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14:paraId="5DD8C29E">
            <w:pPr>
              <w:topLinePunct/>
              <w:autoSpaceDE w:val="0"/>
              <w:autoSpaceDN w:val="0"/>
              <w:adjustRightInd w:val="0"/>
              <w:snapToGrid w:val="0"/>
              <w:spacing w:after="0" w:line="240" w:lineRule="auto"/>
              <w:jc w:val="center"/>
              <w:rPr>
                <w:rFonts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14:paraId="40C72E88">
            <w:pPr>
              <w:topLinePunct/>
              <w:autoSpaceDE w:val="0"/>
              <w:autoSpaceDN w:val="0"/>
              <w:adjustRightInd w:val="0"/>
              <w:snapToGrid w:val="0"/>
              <w:spacing w:after="0" w:line="240" w:lineRule="auto"/>
              <w:jc w:val="center"/>
              <w:rPr>
                <w:rFonts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14:paraId="65807D91">
            <w:pPr>
              <w:topLinePunct/>
              <w:autoSpaceDE w:val="0"/>
              <w:autoSpaceDN w:val="0"/>
              <w:adjustRightInd w:val="0"/>
              <w:snapToGrid w:val="0"/>
              <w:spacing w:after="0" w:line="240" w:lineRule="auto"/>
              <w:jc w:val="center"/>
              <w:rPr>
                <w:rFonts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ign w:val="center"/>
          </w:tcPr>
          <w:p w14:paraId="294A79FE">
            <w:pPr>
              <w:topLinePunct/>
              <w:autoSpaceDE w:val="0"/>
              <w:autoSpaceDN w:val="0"/>
              <w:adjustRightInd w:val="0"/>
              <w:snapToGrid w:val="0"/>
              <w:spacing w:after="0" w:line="240" w:lineRule="auto"/>
              <w:jc w:val="center"/>
              <w:rPr>
                <w:rFonts w:ascii="宋体" w:hAnsi="宋体" w:cs="宋体"/>
                <w:color w:val="auto"/>
                <w:highlight w:val="none"/>
              </w:rPr>
            </w:pPr>
          </w:p>
        </w:tc>
      </w:tr>
      <w:tr w14:paraId="07005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14:paraId="46DE4592">
            <w:pPr>
              <w:topLinePunct/>
              <w:autoSpaceDE w:val="0"/>
              <w:autoSpaceDN w:val="0"/>
              <w:adjustRightInd w:val="0"/>
              <w:snapToGrid w:val="0"/>
              <w:spacing w:after="0" w:line="240" w:lineRule="auto"/>
              <w:jc w:val="center"/>
              <w:rPr>
                <w:rFonts w:ascii="宋体" w:hAnsi="宋体" w:cs="宋体"/>
                <w:color w:val="auto"/>
                <w:highlight w:val="none"/>
              </w:rPr>
            </w:pPr>
            <w:r>
              <w:rPr>
                <w:rFonts w:hint="eastAsia" w:ascii="宋体" w:hAnsi="宋体" w:cs="宋体"/>
                <w:color w:val="000000"/>
                <w:sz w:val="24"/>
                <w:highlight w:val="white"/>
              </w:rPr>
              <w:t>2</w:t>
            </w:r>
          </w:p>
        </w:tc>
        <w:tc>
          <w:tcPr>
            <w:tcW w:w="819" w:type="dxa"/>
            <w:tcBorders>
              <w:top w:val="single" w:color="auto" w:sz="4" w:space="0"/>
              <w:left w:val="single" w:color="auto" w:sz="4" w:space="0"/>
              <w:bottom w:val="single" w:color="auto" w:sz="4" w:space="0"/>
              <w:right w:val="single" w:color="auto" w:sz="4" w:space="0"/>
            </w:tcBorders>
            <w:noWrap/>
            <w:vAlign w:val="center"/>
          </w:tcPr>
          <w:p w14:paraId="5AD590E6">
            <w:pPr>
              <w:topLinePunct/>
              <w:autoSpaceDE w:val="0"/>
              <w:autoSpaceDN w:val="0"/>
              <w:adjustRightInd w:val="0"/>
              <w:snapToGrid w:val="0"/>
              <w:spacing w:after="0" w:line="240" w:lineRule="auto"/>
              <w:jc w:val="center"/>
              <w:rPr>
                <w:rFonts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14:paraId="635C4F38">
            <w:pPr>
              <w:topLinePunct/>
              <w:autoSpaceDE w:val="0"/>
              <w:autoSpaceDN w:val="0"/>
              <w:adjustRightInd w:val="0"/>
              <w:snapToGrid w:val="0"/>
              <w:spacing w:after="0" w:line="240" w:lineRule="auto"/>
              <w:jc w:val="center"/>
              <w:rPr>
                <w:rFonts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tcPr>
          <w:p w14:paraId="144D6CEE">
            <w:pPr>
              <w:topLinePunct/>
              <w:autoSpaceDE w:val="0"/>
              <w:autoSpaceDN w:val="0"/>
              <w:adjustRightInd w:val="0"/>
              <w:snapToGrid w:val="0"/>
              <w:spacing w:after="0" w:line="240" w:lineRule="auto"/>
              <w:jc w:val="center"/>
              <w:rPr>
                <w:rFonts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14:paraId="151F9382">
            <w:pPr>
              <w:topLinePunct/>
              <w:autoSpaceDE w:val="0"/>
              <w:autoSpaceDN w:val="0"/>
              <w:adjustRightInd w:val="0"/>
              <w:snapToGrid w:val="0"/>
              <w:spacing w:after="0" w:line="240" w:lineRule="auto"/>
              <w:jc w:val="center"/>
              <w:rPr>
                <w:rFonts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14:paraId="01DEE583">
            <w:pPr>
              <w:topLinePunct/>
              <w:autoSpaceDE w:val="0"/>
              <w:autoSpaceDN w:val="0"/>
              <w:adjustRightInd w:val="0"/>
              <w:snapToGrid w:val="0"/>
              <w:spacing w:after="0" w:line="240" w:lineRule="auto"/>
              <w:jc w:val="center"/>
              <w:rPr>
                <w:rFonts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14:paraId="3C30FB68">
            <w:pPr>
              <w:topLinePunct/>
              <w:autoSpaceDE w:val="0"/>
              <w:autoSpaceDN w:val="0"/>
              <w:adjustRightInd w:val="0"/>
              <w:snapToGrid w:val="0"/>
              <w:spacing w:after="0" w:line="240" w:lineRule="auto"/>
              <w:jc w:val="center"/>
              <w:rPr>
                <w:rFonts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14:paraId="5536F336">
            <w:pPr>
              <w:topLinePunct/>
              <w:autoSpaceDE w:val="0"/>
              <w:autoSpaceDN w:val="0"/>
              <w:adjustRightInd w:val="0"/>
              <w:snapToGrid w:val="0"/>
              <w:spacing w:after="0" w:line="240" w:lineRule="auto"/>
              <w:jc w:val="center"/>
              <w:rPr>
                <w:rFonts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ign w:val="center"/>
          </w:tcPr>
          <w:p w14:paraId="7360FEEE">
            <w:pPr>
              <w:topLinePunct/>
              <w:autoSpaceDE w:val="0"/>
              <w:autoSpaceDN w:val="0"/>
              <w:adjustRightInd w:val="0"/>
              <w:snapToGrid w:val="0"/>
              <w:spacing w:after="0" w:line="240" w:lineRule="auto"/>
              <w:jc w:val="center"/>
              <w:rPr>
                <w:rFonts w:ascii="宋体" w:hAnsi="宋体" w:cs="宋体"/>
                <w:color w:val="auto"/>
                <w:highlight w:val="none"/>
              </w:rPr>
            </w:pPr>
          </w:p>
        </w:tc>
      </w:tr>
      <w:tr w14:paraId="611E5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14:paraId="6425665D">
            <w:pPr>
              <w:topLinePunct/>
              <w:autoSpaceDE w:val="0"/>
              <w:autoSpaceDN w:val="0"/>
              <w:adjustRightInd w:val="0"/>
              <w:snapToGrid w:val="0"/>
              <w:spacing w:after="0" w:line="240" w:lineRule="auto"/>
              <w:jc w:val="center"/>
              <w:rPr>
                <w:rFonts w:hint="eastAsia" w:ascii="宋体" w:hAnsi="宋体" w:cs="宋体"/>
                <w:color w:val="auto"/>
                <w:highlight w:val="none"/>
              </w:rPr>
            </w:pPr>
            <w:r>
              <w:rPr>
                <w:rFonts w:hint="eastAsia" w:ascii="宋体" w:hAnsi="宋体" w:cs="宋体"/>
                <w:color w:val="000000"/>
                <w:highlight w:val="white"/>
                <w:lang w:val="en-US" w:eastAsia="zh-CN"/>
              </w:rPr>
              <w:t>3</w:t>
            </w:r>
          </w:p>
        </w:tc>
        <w:tc>
          <w:tcPr>
            <w:tcW w:w="819" w:type="dxa"/>
            <w:tcBorders>
              <w:top w:val="single" w:color="auto" w:sz="4" w:space="0"/>
              <w:left w:val="single" w:color="auto" w:sz="4" w:space="0"/>
              <w:bottom w:val="single" w:color="auto" w:sz="4" w:space="0"/>
              <w:right w:val="single" w:color="auto" w:sz="4" w:space="0"/>
            </w:tcBorders>
            <w:noWrap/>
            <w:vAlign w:val="center"/>
          </w:tcPr>
          <w:p w14:paraId="6DA7A10E">
            <w:pPr>
              <w:topLinePunct/>
              <w:autoSpaceDE w:val="0"/>
              <w:autoSpaceDN w:val="0"/>
              <w:adjustRightInd w:val="0"/>
              <w:snapToGrid w:val="0"/>
              <w:spacing w:after="0" w:line="240" w:lineRule="auto"/>
              <w:jc w:val="center"/>
              <w:rPr>
                <w:rFonts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14:paraId="21E198FC">
            <w:pPr>
              <w:topLinePunct/>
              <w:autoSpaceDE w:val="0"/>
              <w:autoSpaceDN w:val="0"/>
              <w:adjustRightInd w:val="0"/>
              <w:snapToGrid w:val="0"/>
              <w:spacing w:after="0" w:line="240" w:lineRule="auto"/>
              <w:jc w:val="center"/>
              <w:rPr>
                <w:rFonts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tcPr>
          <w:p w14:paraId="689CC009">
            <w:pPr>
              <w:topLinePunct/>
              <w:autoSpaceDE w:val="0"/>
              <w:autoSpaceDN w:val="0"/>
              <w:adjustRightInd w:val="0"/>
              <w:snapToGrid w:val="0"/>
              <w:spacing w:after="0" w:line="240" w:lineRule="auto"/>
              <w:jc w:val="center"/>
              <w:rPr>
                <w:rFonts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14:paraId="6343600B">
            <w:pPr>
              <w:topLinePunct/>
              <w:autoSpaceDE w:val="0"/>
              <w:autoSpaceDN w:val="0"/>
              <w:adjustRightInd w:val="0"/>
              <w:snapToGrid w:val="0"/>
              <w:spacing w:after="0" w:line="240" w:lineRule="auto"/>
              <w:jc w:val="center"/>
              <w:rPr>
                <w:rFonts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14:paraId="771411F4">
            <w:pPr>
              <w:topLinePunct/>
              <w:autoSpaceDE w:val="0"/>
              <w:autoSpaceDN w:val="0"/>
              <w:adjustRightInd w:val="0"/>
              <w:snapToGrid w:val="0"/>
              <w:spacing w:after="0" w:line="240" w:lineRule="auto"/>
              <w:jc w:val="center"/>
              <w:rPr>
                <w:rFonts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14:paraId="1B6EF00E">
            <w:pPr>
              <w:topLinePunct/>
              <w:autoSpaceDE w:val="0"/>
              <w:autoSpaceDN w:val="0"/>
              <w:adjustRightInd w:val="0"/>
              <w:snapToGrid w:val="0"/>
              <w:spacing w:after="0" w:line="240" w:lineRule="auto"/>
              <w:jc w:val="center"/>
              <w:rPr>
                <w:rFonts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14:paraId="2AA22A2B">
            <w:pPr>
              <w:topLinePunct/>
              <w:autoSpaceDE w:val="0"/>
              <w:autoSpaceDN w:val="0"/>
              <w:adjustRightInd w:val="0"/>
              <w:snapToGrid w:val="0"/>
              <w:spacing w:after="0" w:line="240" w:lineRule="auto"/>
              <w:jc w:val="center"/>
              <w:rPr>
                <w:rFonts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ign w:val="center"/>
          </w:tcPr>
          <w:p w14:paraId="435BE6CE">
            <w:pPr>
              <w:topLinePunct/>
              <w:autoSpaceDE w:val="0"/>
              <w:autoSpaceDN w:val="0"/>
              <w:adjustRightInd w:val="0"/>
              <w:snapToGrid w:val="0"/>
              <w:spacing w:after="0" w:line="240" w:lineRule="auto"/>
              <w:jc w:val="center"/>
              <w:rPr>
                <w:rFonts w:ascii="宋体" w:hAnsi="宋体" w:cs="宋体"/>
                <w:color w:val="auto"/>
                <w:highlight w:val="none"/>
              </w:rPr>
            </w:pPr>
          </w:p>
        </w:tc>
      </w:tr>
      <w:tr w14:paraId="0A101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14:paraId="293B5324">
            <w:pPr>
              <w:topLinePunct/>
              <w:autoSpaceDE w:val="0"/>
              <w:autoSpaceDN w:val="0"/>
              <w:adjustRightInd w:val="0"/>
              <w:snapToGrid w:val="0"/>
              <w:spacing w:after="0" w:line="240" w:lineRule="auto"/>
              <w:jc w:val="center"/>
              <w:rPr>
                <w:rFonts w:hint="eastAsia" w:ascii="宋体" w:hAnsi="宋体" w:cs="宋体"/>
                <w:color w:val="auto"/>
                <w:highlight w:val="none"/>
              </w:rPr>
            </w:pPr>
            <w:r>
              <w:rPr>
                <w:rFonts w:hint="eastAsia" w:ascii="宋体" w:hAnsi="宋体" w:cs="宋体"/>
                <w:color w:val="000000"/>
                <w:highlight w:val="white"/>
                <w:lang w:val="en-US" w:eastAsia="zh-CN"/>
              </w:rPr>
              <w:t>4</w:t>
            </w:r>
          </w:p>
        </w:tc>
        <w:tc>
          <w:tcPr>
            <w:tcW w:w="819" w:type="dxa"/>
            <w:tcBorders>
              <w:top w:val="single" w:color="auto" w:sz="4" w:space="0"/>
              <w:left w:val="single" w:color="auto" w:sz="4" w:space="0"/>
              <w:bottom w:val="single" w:color="auto" w:sz="4" w:space="0"/>
              <w:right w:val="single" w:color="auto" w:sz="4" w:space="0"/>
            </w:tcBorders>
            <w:noWrap/>
            <w:vAlign w:val="center"/>
          </w:tcPr>
          <w:p w14:paraId="7B50FD7E">
            <w:pPr>
              <w:topLinePunct/>
              <w:autoSpaceDE w:val="0"/>
              <w:autoSpaceDN w:val="0"/>
              <w:adjustRightInd w:val="0"/>
              <w:snapToGrid w:val="0"/>
              <w:spacing w:after="0" w:line="240" w:lineRule="auto"/>
              <w:jc w:val="center"/>
              <w:rPr>
                <w:rFonts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14:paraId="5763C04D">
            <w:pPr>
              <w:topLinePunct/>
              <w:autoSpaceDE w:val="0"/>
              <w:autoSpaceDN w:val="0"/>
              <w:adjustRightInd w:val="0"/>
              <w:snapToGrid w:val="0"/>
              <w:spacing w:after="0" w:line="240" w:lineRule="auto"/>
              <w:jc w:val="center"/>
              <w:rPr>
                <w:rFonts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tcPr>
          <w:p w14:paraId="72C6FFFB">
            <w:pPr>
              <w:topLinePunct/>
              <w:autoSpaceDE w:val="0"/>
              <w:autoSpaceDN w:val="0"/>
              <w:adjustRightInd w:val="0"/>
              <w:snapToGrid w:val="0"/>
              <w:spacing w:after="0" w:line="240" w:lineRule="auto"/>
              <w:jc w:val="center"/>
              <w:rPr>
                <w:rFonts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14:paraId="48700150">
            <w:pPr>
              <w:topLinePunct/>
              <w:autoSpaceDE w:val="0"/>
              <w:autoSpaceDN w:val="0"/>
              <w:adjustRightInd w:val="0"/>
              <w:snapToGrid w:val="0"/>
              <w:spacing w:after="0" w:line="240" w:lineRule="auto"/>
              <w:jc w:val="center"/>
              <w:rPr>
                <w:rFonts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14:paraId="628A73A4">
            <w:pPr>
              <w:topLinePunct/>
              <w:autoSpaceDE w:val="0"/>
              <w:autoSpaceDN w:val="0"/>
              <w:adjustRightInd w:val="0"/>
              <w:snapToGrid w:val="0"/>
              <w:spacing w:after="0" w:line="240" w:lineRule="auto"/>
              <w:jc w:val="center"/>
              <w:rPr>
                <w:rFonts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14:paraId="6D9AAAAE">
            <w:pPr>
              <w:topLinePunct/>
              <w:autoSpaceDE w:val="0"/>
              <w:autoSpaceDN w:val="0"/>
              <w:adjustRightInd w:val="0"/>
              <w:snapToGrid w:val="0"/>
              <w:spacing w:after="0" w:line="240" w:lineRule="auto"/>
              <w:jc w:val="center"/>
              <w:rPr>
                <w:rFonts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14:paraId="45BB1466">
            <w:pPr>
              <w:topLinePunct/>
              <w:autoSpaceDE w:val="0"/>
              <w:autoSpaceDN w:val="0"/>
              <w:adjustRightInd w:val="0"/>
              <w:snapToGrid w:val="0"/>
              <w:spacing w:after="0" w:line="240" w:lineRule="auto"/>
              <w:jc w:val="center"/>
              <w:rPr>
                <w:rFonts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ign w:val="center"/>
          </w:tcPr>
          <w:p w14:paraId="4988FAE6">
            <w:pPr>
              <w:topLinePunct/>
              <w:autoSpaceDE w:val="0"/>
              <w:autoSpaceDN w:val="0"/>
              <w:adjustRightInd w:val="0"/>
              <w:snapToGrid w:val="0"/>
              <w:spacing w:after="0" w:line="240" w:lineRule="auto"/>
              <w:jc w:val="center"/>
              <w:rPr>
                <w:rFonts w:ascii="宋体" w:hAnsi="宋体" w:cs="宋体"/>
                <w:color w:val="auto"/>
                <w:highlight w:val="none"/>
              </w:rPr>
            </w:pPr>
          </w:p>
        </w:tc>
      </w:tr>
      <w:tr w14:paraId="26BCC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14:paraId="27854D37">
            <w:pPr>
              <w:topLinePunct/>
              <w:autoSpaceDE w:val="0"/>
              <w:autoSpaceDN w:val="0"/>
              <w:adjustRightInd w:val="0"/>
              <w:snapToGrid w:val="0"/>
              <w:spacing w:after="0" w:line="240" w:lineRule="auto"/>
              <w:jc w:val="center"/>
              <w:rPr>
                <w:rFonts w:hint="eastAsia" w:ascii="宋体" w:hAnsi="宋体" w:cs="宋体"/>
                <w:color w:val="auto"/>
                <w:highlight w:val="none"/>
              </w:rPr>
            </w:pPr>
            <w:r>
              <w:rPr>
                <w:rFonts w:hint="eastAsia" w:ascii="宋体" w:hAnsi="宋体" w:cs="宋体"/>
                <w:color w:val="000000"/>
                <w:highlight w:val="white"/>
                <w:lang w:val="en-US" w:eastAsia="zh-CN"/>
              </w:rPr>
              <w:t>5</w:t>
            </w:r>
          </w:p>
        </w:tc>
        <w:tc>
          <w:tcPr>
            <w:tcW w:w="819" w:type="dxa"/>
            <w:tcBorders>
              <w:top w:val="single" w:color="auto" w:sz="4" w:space="0"/>
              <w:left w:val="single" w:color="auto" w:sz="4" w:space="0"/>
              <w:bottom w:val="single" w:color="auto" w:sz="4" w:space="0"/>
              <w:right w:val="single" w:color="auto" w:sz="4" w:space="0"/>
            </w:tcBorders>
            <w:noWrap/>
            <w:vAlign w:val="center"/>
          </w:tcPr>
          <w:p w14:paraId="014B3D21">
            <w:pPr>
              <w:topLinePunct/>
              <w:autoSpaceDE w:val="0"/>
              <w:autoSpaceDN w:val="0"/>
              <w:adjustRightInd w:val="0"/>
              <w:snapToGrid w:val="0"/>
              <w:spacing w:after="0" w:line="240" w:lineRule="auto"/>
              <w:jc w:val="center"/>
              <w:rPr>
                <w:rFonts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14:paraId="7B52AFC8">
            <w:pPr>
              <w:topLinePunct/>
              <w:autoSpaceDE w:val="0"/>
              <w:autoSpaceDN w:val="0"/>
              <w:adjustRightInd w:val="0"/>
              <w:snapToGrid w:val="0"/>
              <w:spacing w:after="0" w:line="240" w:lineRule="auto"/>
              <w:jc w:val="center"/>
              <w:rPr>
                <w:rFonts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tcPr>
          <w:p w14:paraId="76561752">
            <w:pPr>
              <w:topLinePunct/>
              <w:autoSpaceDE w:val="0"/>
              <w:autoSpaceDN w:val="0"/>
              <w:adjustRightInd w:val="0"/>
              <w:snapToGrid w:val="0"/>
              <w:spacing w:after="0" w:line="240" w:lineRule="auto"/>
              <w:jc w:val="center"/>
              <w:rPr>
                <w:rFonts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14:paraId="7B3396F3">
            <w:pPr>
              <w:topLinePunct/>
              <w:autoSpaceDE w:val="0"/>
              <w:autoSpaceDN w:val="0"/>
              <w:adjustRightInd w:val="0"/>
              <w:snapToGrid w:val="0"/>
              <w:spacing w:after="0" w:line="240" w:lineRule="auto"/>
              <w:jc w:val="center"/>
              <w:rPr>
                <w:rFonts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14:paraId="7B937A4F">
            <w:pPr>
              <w:topLinePunct/>
              <w:autoSpaceDE w:val="0"/>
              <w:autoSpaceDN w:val="0"/>
              <w:adjustRightInd w:val="0"/>
              <w:snapToGrid w:val="0"/>
              <w:spacing w:after="0" w:line="240" w:lineRule="auto"/>
              <w:jc w:val="center"/>
              <w:rPr>
                <w:rFonts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14:paraId="3880831E">
            <w:pPr>
              <w:topLinePunct/>
              <w:autoSpaceDE w:val="0"/>
              <w:autoSpaceDN w:val="0"/>
              <w:adjustRightInd w:val="0"/>
              <w:snapToGrid w:val="0"/>
              <w:spacing w:after="0" w:line="240" w:lineRule="auto"/>
              <w:jc w:val="center"/>
              <w:rPr>
                <w:rFonts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14:paraId="70EC98E2">
            <w:pPr>
              <w:topLinePunct/>
              <w:autoSpaceDE w:val="0"/>
              <w:autoSpaceDN w:val="0"/>
              <w:adjustRightInd w:val="0"/>
              <w:snapToGrid w:val="0"/>
              <w:spacing w:after="0" w:line="240" w:lineRule="auto"/>
              <w:jc w:val="center"/>
              <w:rPr>
                <w:rFonts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ign w:val="center"/>
          </w:tcPr>
          <w:p w14:paraId="1749517C">
            <w:pPr>
              <w:topLinePunct/>
              <w:autoSpaceDE w:val="0"/>
              <w:autoSpaceDN w:val="0"/>
              <w:adjustRightInd w:val="0"/>
              <w:snapToGrid w:val="0"/>
              <w:spacing w:after="0" w:line="240" w:lineRule="auto"/>
              <w:jc w:val="center"/>
              <w:rPr>
                <w:rFonts w:ascii="宋体" w:hAnsi="宋体" w:cs="宋体"/>
                <w:color w:val="auto"/>
                <w:highlight w:val="none"/>
              </w:rPr>
            </w:pPr>
          </w:p>
        </w:tc>
      </w:tr>
      <w:tr w14:paraId="56C59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ign w:val="center"/>
          </w:tcPr>
          <w:p w14:paraId="448993EF">
            <w:pPr>
              <w:topLinePunct/>
              <w:autoSpaceDE w:val="0"/>
              <w:autoSpaceDN w:val="0"/>
              <w:adjustRightInd w:val="0"/>
              <w:snapToGrid w:val="0"/>
              <w:spacing w:after="0" w:line="240" w:lineRule="auto"/>
              <w:jc w:val="center"/>
              <w:rPr>
                <w:rFonts w:hint="eastAsia" w:ascii="宋体" w:hAnsi="宋体" w:cs="宋体"/>
                <w:color w:val="auto"/>
                <w:highlight w:val="none"/>
              </w:rPr>
            </w:pPr>
            <w:r>
              <w:rPr>
                <w:rFonts w:hint="eastAsia" w:ascii="宋体" w:hAnsi="宋体" w:cs="宋体"/>
                <w:color w:val="000000"/>
                <w:highlight w:val="white"/>
              </w:rPr>
              <w:t>……</w:t>
            </w:r>
          </w:p>
        </w:tc>
        <w:tc>
          <w:tcPr>
            <w:tcW w:w="819" w:type="dxa"/>
            <w:tcBorders>
              <w:top w:val="single" w:color="auto" w:sz="4" w:space="0"/>
              <w:left w:val="single" w:color="auto" w:sz="4" w:space="0"/>
              <w:bottom w:val="single" w:color="auto" w:sz="4" w:space="0"/>
              <w:right w:val="single" w:color="auto" w:sz="4" w:space="0"/>
            </w:tcBorders>
            <w:noWrap/>
            <w:vAlign w:val="center"/>
          </w:tcPr>
          <w:p w14:paraId="7F1D2E2A">
            <w:pPr>
              <w:topLinePunct/>
              <w:autoSpaceDE w:val="0"/>
              <w:autoSpaceDN w:val="0"/>
              <w:adjustRightInd w:val="0"/>
              <w:snapToGrid w:val="0"/>
              <w:spacing w:after="0" w:line="240" w:lineRule="auto"/>
              <w:jc w:val="center"/>
              <w:rPr>
                <w:rFonts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ign w:val="center"/>
          </w:tcPr>
          <w:p w14:paraId="28AAADF2">
            <w:pPr>
              <w:topLinePunct/>
              <w:autoSpaceDE w:val="0"/>
              <w:autoSpaceDN w:val="0"/>
              <w:adjustRightInd w:val="0"/>
              <w:snapToGrid w:val="0"/>
              <w:spacing w:after="0" w:line="240" w:lineRule="auto"/>
              <w:jc w:val="center"/>
              <w:rPr>
                <w:rFonts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tcPr>
          <w:p w14:paraId="324E06BD">
            <w:pPr>
              <w:topLinePunct/>
              <w:autoSpaceDE w:val="0"/>
              <w:autoSpaceDN w:val="0"/>
              <w:adjustRightInd w:val="0"/>
              <w:snapToGrid w:val="0"/>
              <w:spacing w:after="0" w:line="240" w:lineRule="auto"/>
              <w:jc w:val="center"/>
              <w:rPr>
                <w:rFonts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ign w:val="center"/>
          </w:tcPr>
          <w:p w14:paraId="595498C5">
            <w:pPr>
              <w:topLinePunct/>
              <w:autoSpaceDE w:val="0"/>
              <w:autoSpaceDN w:val="0"/>
              <w:adjustRightInd w:val="0"/>
              <w:snapToGrid w:val="0"/>
              <w:spacing w:after="0" w:line="240" w:lineRule="auto"/>
              <w:jc w:val="center"/>
              <w:rPr>
                <w:rFonts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ign w:val="center"/>
          </w:tcPr>
          <w:p w14:paraId="192E77BA">
            <w:pPr>
              <w:topLinePunct/>
              <w:autoSpaceDE w:val="0"/>
              <w:autoSpaceDN w:val="0"/>
              <w:adjustRightInd w:val="0"/>
              <w:snapToGrid w:val="0"/>
              <w:spacing w:after="0" w:line="240" w:lineRule="auto"/>
              <w:jc w:val="center"/>
              <w:rPr>
                <w:rFonts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ign w:val="center"/>
          </w:tcPr>
          <w:p w14:paraId="3293CEDC">
            <w:pPr>
              <w:topLinePunct/>
              <w:autoSpaceDE w:val="0"/>
              <w:autoSpaceDN w:val="0"/>
              <w:adjustRightInd w:val="0"/>
              <w:snapToGrid w:val="0"/>
              <w:spacing w:after="0" w:line="240" w:lineRule="auto"/>
              <w:jc w:val="center"/>
              <w:rPr>
                <w:rFonts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ign w:val="center"/>
          </w:tcPr>
          <w:p w14:paraId="2E49602B">
            <w:pPr>
              <w:topLinePunct/>
              <w:autoSpaceDE w:val="0"/>
              <w:autoSpaceDN w:val="0"/>
              <w:adjustRightInd w:val="0"/>
              <w:snapToGrid w:val="0"/>
              <w:spacing w:after="0" w:line="240" w:lineRule="auto"/>
              <w:jc w:val="center"/>
              <w:rPr>
                <w:rFonts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ign w:val="center"/>
          </w:tcPr>
          <w:p w14:paraId="74187EE1">
            <w:pPr>
              <w:topLinePunct/>
              <w:autoSpaceDE w:val="0"/>
              <w:autoSpaceDN w:val="0"/>
              <w:adjustRightInd w:val="0"/>
              <w:snapToGrid w:val="0"/>
              <w:spacing w:after="0" w:line="240" w:lineRule="auto"/>
              <w:jc w:val="center"/>
              <w:rPr>
                <w:rFonts w:ascii="宋体" w:hAnsi="宋体" w:cs="宋体"/>
                <w:color w:val="auto"/>
                <w:highlight w:val="none"/>
              </w:rPr>
            </w:pPr>
          </w:p>
        </w:tc>
      </w:tr>
    </w:tbl>
    <w:p w14:paraId="1D6CF981">
      <w:pPr>
        <w:spacing w:line="300" w:lineRule="exact"/>
        <w:rPr>
          <w:rFonts w:ascii="宋体" w:hAnsi="宋体" w:cs="宋体"/>
          <w:color w:val="auto"/>
          <w:highlight w:val="none"/>
        </w:rPr>
      </w:pPr>
    </w:p>
    <w:p w14:paraId="5E816C6C">
      <w:pPr>
        <w:adjustRightInd w:val="0"/>
        <w:snapToGrid w:val="0"/>
        <w:spacing w:after="0" w:line="360" w:lineRule="auto"/>
        <w:rPr>
          <w:rFonts w:ascii="宋体" w:hAnsi="宋体" w:cs="宋体"/>
          <w:color w:val="auto"/>
          <w:highlight w:val="none"/>
        </w:rPr>
      </w:pPr>
      <w:r>
        <w:rPr>
          <w:rFonts w:hint="eastAsia" w:ascii="宋体" w:hAnsi="宋体" w:cs="宋体"/>
          <w:color w:val="000000"/>
          <w:highlight w:val="white"/>
        </w:rPr>
        <w:t>特别说明：</w:t>
      </w:r>
    </w:p>
    <w:p w14:paraId="1702DEBD">
      <w:pPr>
        <w:numPr>
          <w:ilvl w:val="0"/>
          <w:numId w:val="8"/>
        </w:numPr>
        <w:tabs>
          <w:tab w:val="left" w:pos="640"/>
        </w:tabs>
        <w:adjustRightInd w:val="0"/>
        <w:snapToGrid w:val="0"/>
        <w:spacing w:after="0" w:line="360" w:lineRule="auto"/>
        <w:ind w:firstLine="420" w:firstLineChars="200"/>
        <w:rPr>
          <w:rFonts w:ascii="宋体" w:hAnsi="宋体" w:cs="宋体"/>
          <w:color w:val="auto"/>
          <w:szCs w:val="21"/>
          <w:highlight w:val="none"/>
        </w:rPr>
      </w:pPr>
      <w:r>
        <w:rPr>
          <w:rFonts w:hint="eastAsia" w:ascii="宋体" w:hAnsi="宋体" w:cs="宋体"/>
          <w:color w:val="000000"/>
          <w:szCs w:val="21"/>
          <w:highlight w:val="white"/>
        </w:rPr>
        <w:t>提供</w:t>
      </w:r>
      <w:r>
        <w:rPr>
          <w:rFonts w:hint="eastAsia" w:ascii="宋体" w:hAnsi="宋体" w:cs="宋体"/>
          <w:color w:val="000000"/>
          <w:szCs w:val="21"/>
          <w:highlight w:val="white"/>
          <w:lang w:val="en-US" w:eastAsia="zh-CN"/>
        </w:rPr>
        <w:t>2022年1月1日以来（以合同签订日期为准），投标人独立承担的相似或类似项目成功案例。</w:t>
      </w:r>
    </w:p>
    <w:p w14:paraId="3D6EB956">
      <w:pPr>
        <w:widowControl/>
        <w:tabs>
          <w:tab w:val="left" w:pos="0"/>
          <w:tab w:val="left" w:pos="420"/>
        </w:tabs>
        <w:adjustRightInd w:val="0"/>
        <w:snapToGrid w:val="0"/>
        <w:spacing w:after="0" w:line="360" w:lineRule="auto"/>
        <w:ind w:firstLine="420" w:firstLineChars="200"/>
        <w:jc w:val="left"/>
        <w:rPr>
          <w:highlight w:val="none"/>
        </w:rPr>
      </w:pPr>
      <w:r>
        <w:rPr>
          <w:rFonts w:hint="eastAsia" w:ascii="宋体" w:hAnsi="宋体" w:cs="宋体"/>
          <w:color w:val="000000"/>
          <w:szCs w:val="21"/>
          <w:highlight w:val="white"/>
          <w:lang w:val="en-US" w:eastAsia="zh-CN"/>
        </w:rPr>
        <w:t>2.</w:t>
      </w:r>
      <w:r>
        <w:rPr>
          <w:rFonts w:hint="eastAsia" w:ascii="宋体" w:hAnsi="宋体" w:cs="宋体"/>
          <w:color w:val="000000"/>
          <w:szCs w:val="21"/>
          <w:highlight w:val="white"/>
        </w:rPr>
        <w:t>应提供</w:t>
      </w:r>
      <w:r>
        <w:rPr>
          <w:rFonts w:hint="eastAsia" w:ascii="宋体" w:hAnsi="宋体" w:cs="宋体"/>
          <w:color w:val="000000"/>
          <w:szCs w:val="21"/>
          <w:highlight w:val="white"/>
          <w:lang w:eastAsia="zh-CN"/>
        </w:rPr>
        <w:t>中标通知书或</w:t>
      </w:r>
      <w:r>
        <w:rPr>
          <w:rFonts w:hint="eastAsia" w:ascii="宋体" w:hAnsi="宋体" w:cs="宋体"/>
          <w:b w:val="0"/>
          <w:bCs w:val="0"/>
          <w:color w:val="000000"/>
          <w:szCs w:val="21"/>
          <w:highlight w:val="white"/>
        </w:rPr>
        <w:t>合同扫描件</w:t>
      </w:r>
      <w:r>
        <w:rPr>
          <w:rFonts w:hint="eastAsia" w:ascii="宋体" w:hAnsi="宋体" w:cs="宋体"/>
          <w:b w:val="0"/>
          <w:bCs w:val="0"/>
          <w:color w:val="000000"/>
          <w:szCs w:val="21"/>
          <w:highlight w:val="white"/>
          <w:lang w:eastAsia="zh-CN"/>
        </w:rPr>
        <w:t>并加盖公章</w:t>
      </w:r>
      <w:r>
        <w:rPr>
          <w:rFonts w:hint="eastAsia" w:ascii="宋体" w:hAnsi="宋体" w:cs="宋体"/>
          <w:b/>
          <w:bCs/>
          <w:color w:val="000000"/>
          <w:szCs w:val="21"/>
          <w:highlight w:val="white"/>
        </w:rPr>
        <w:t>。</w:t>
      </w:r>
      <w:r>
        <w:rPr>
          <w:rFonts w:hint="eastAsia" w:ascii="宋体" w:hAnsi="宋体" w:cs="宋体"/>
          <w:color w:val="000000"/>
          <w:szCs w:val="21"/>
          <w:highlight w:val="white"/>
        </w:rPr>
        <w:t>合同扫描件应能清晰体现合同甲乙双方、合同时间、合同金额、合同主要内容等，并提供对方联系人及联系方式，否则不能获得相应分值。</w:t>
      </w:r>
    </w:p>
    <w:p w14:paraId="5A897E4A">
      <w:pPr>
        <w:adjustRightInd w:val="0"/>
        <w:snapToGrid w:val="0"/>
        <w:spacing w:after="0" w:line="360" w:lineRule="auto"/>
        <w:jc w:val="both"/>
        <w:rPr>
          <w:rFonts w:ascii="宋体" w:hAnsi="宋体" w:cs="宋体"/>
          <w:b w:val="0"/>
          <w:bCs w:val="0"/>
          <w:color w:val="auto"/>
          <w:sz w:val="24"/>
          <w:szCs w:val="24"/>
          <w:highlight w:val="none"/>
        </w:rPr>
      </w:pPr>
    </w:p>
    <w:p w14:paraId="7945DD7C">
      <w:pPr>
        <w:rPr>
          <w:rFonts w:ascii="宋体" w:hAnsi="宋体" w:cs="宋体"/>
          <w:b w:val="0"/>
          <w:bCs w:val="0"/>
          <w:color w:val="auto"/>
          <w:sz w:val="24"/>
          <w:szCs w:val="24"/>
          <w:highlight w:val="none"/>
        </w:rPr>
      </w:pPr>
      <w:r>
        <w:rPr>
          <w:rFonts w:ascii="宋体" w:hAnsi="宋体" w:cs="宋体"/>
          <w:b w:val="0"/>
          <w:bCs w:val="0"/>
          <w:color w:val="000000"/>
          <w:sz w:val="24"/>
          <w:szCs w:val="24"/>
          <w:highlight w:val="white"/>
        </w:rPr>
        <w:br w:type="page"/>
      </w:r>
    </w:p>
    <w:p w14:paraId="16A07611">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000000"/>
          <w:sz w:val="36"/>
          <w:szCs w:val="36"/>
          <w:highlight w:val="white"/>
        </w:rPr>
        <w:t>投标文件技术部分文件格式</w:t>
      </w:r>
    </w:p>
    <w:p w14:paraId="0410518E">
      <w:pPr>
        <w:jc w:val="center"/>
        <w:rPr>
          <w:rFonts w:ascii="宋体" w:hAnsi="宋体" w:cs="宋体"/>
          <w:b/>
          <w:bCs/>
          <w:color w:val="auto"/>
          <w:sz w:val="36"/>
          <w:szCs w:val="36"/>
        </w:rPr>
      </w:pPr>
      <w:r>
        <w:rPr>
          <w:rFonts w:hint="eastAsia" w:ascii="宋体" w:hAnsi="宋体" w:cs="宋体"/>
          <w:b/>
          <w:bCs/>
          <w:color w:val="000000"/>
          <w:sz w:val="36"/>
          <w:szCs w:val="36"/>
          <w:highlight w:val="white"/>
        </w:rPr>
        <w:t>格式7 技术条款偏离表</w:t>
      </w:r>
    </w:p>
    <w:tbl>
      <w:tblPr>
        <w:tblStyle w:val="30"/>
        <w:tblpPr w:leftFromText="180" w:rightFromText="180" w:vertAnchor="text" w:horzAnchor="page" w:tblpX="1435" w:tblpY="293"/>
        <w:tblOverlap w:val="never"/>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753"/>
        <w:gridCol w:w="1229"/>
        <w:gridCol w:w="1401"/>
        <w:gridCol w:w="2031"/>
        <w:gridCol w:w="1366"/>
        <w:gridCol w:w="1695"/>
        <w:gridCol w:w="518"/>
      </w:tblGrid>
      <w:tr w14:paraId="52C54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3A6D889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序号</w:t>
            </w:r>
          </w:p>
        </w:tc>
        <w:tc>
          <w:tcPr>
            <w:tcW w:w="1229" w:type="dxa"/>
            <w:noWrap w:val="0"/>
            <w:vAlign w:val="top"/>
          </w:tcPr>
          <w:p w14:paraId="5E5F2E2B">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14:paraId="6106EFA2">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技术部分序号</w:t>
            </w:r>
          </w:p>
        </w:tc>
        <w:tc>
          <w:tcPr>
            <w:tcW w:w="1401" w:type="dxa"/>
            <w:noWrap w:val="0"/>
            <w:vAlign w:val="center"/>
          </w:tcPr>
          <w:p w14:paraId="51C661A7">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lang w:bidi="ar"/>
              </w:rPr>
            </w:pPr>
            <w:r>
              <w:rPr>
                <w:rFonts w:hint="eastAsia" w:ascii="宋体" w:hAnsi="宋体" w:eastAsia="宋体" w:cs="宋体"/>
                <w:b/>
                <w:color w:val="000000"/>
                <w:kern w:val="2"/>
                <w:sz w:val="24"/>
                <w:szCs w:val="24"/>
                <w:highlight w:val="white"/>
                <w:lang w:val="en-US" w:eastAsia="zh-CN" w:bidi="ar"/>
              </w:rPr>
              <w:t>重要性</w:t>
            </w:r>
          </w:p>
          <w:p w14:paraId="7E6E6A00">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color w:val="auto"/>
              </w:rPr>
            </w:pPr>
            <w:r>
              <w:rPr>
                <w:rFonts w:hint="eastAsia" w:ascii="宋体" w:hAnsi="宋体" w:eastAsia="宋体" w:cs="宋体"/>
                <w:b/>
                <w:color w:val="000000"/>
                <w:kern w:val="2"/>
                <w:sz w:val="24"/>
                <w:szCs w:val="24"/>
                <w:highlight w:val="white"/>
                <w:lang w:val="en-US" w:eastAsia="zh-CN" w:bidi="ar"/>
              </w:rPr>
              <w:t>（</w:t>
            </w:r>
            <w:r>
              <w:rPr>
                <w:rFonts w:hint="eastAsia" w:ascii="宋体" w:hAnsi="宋体" w:eastAsia="宋体" w:cs="宋体"/>
                <w:color w:val="000000"/>
                <w:kern w:val="2"/>
                <w:sz w:val="21"/>
                <w:szCs w:val="21"/>
                <w:highlight w:val="white"/>
                <w:lang w:val="en-US" w:eastAsia="zh-CN" w:bidi="ar"/>
              </w:rPr>
              <w:t>★#△</w:t>
            </w:r>
            <w:r>
              <w:rPr>
                <w:rFonts w:hint="eastAsia" w:ascii="宋体" w:hAnsi="宋体" w:eastAsia="宋体" w:cs="宋体"/>
                <w:b/>
                <w:color w:val="000000"/>
                <w:kern w:val="2"/>
                <w:sz w:val="24"/>
                <w:szCs w:val="24"/>
                <w:highlight w:val="white"/>
                <w:lang w:val="en-US" w:eastAsia="zh-CN" w:bidi="ar"/>
              </w:rPr>
              <w:t>）</w:t>
            </w:r>
          </w:p>
        </w:tc>
        <w:tc>
          <w:tcPr>
            <w:tcW w:w="2031" w:type="dxa"/>
            <w:noWrap w:val="0"/>
            <w:vAlign w:val="center"/>
          </w:tcPr>
          <w:p w14:paraId="5A9BFC86">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14:paraId="091A3DA1">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技术部分内容要求</w:t>
            </w:r>
          </w:p>
        </w:tc>
        <w:tc>
          <w:tcPr>
            <w:tcW w:w="1366" w:type="dxa"/>
            <w:noWrap w:val="0"/>
            <w:vAlign w:val="center"/>
          </w:tcPr>
          <w:p w14:paraId="786DD3DC">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投标文件</w:t>
            </w:r>
          </w:p>
          <w:p w14:paraId="44EA66CC">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应答情况</w:t>
            </w:r>
          </w:p>
        </w:tc>
        <w:tc>
          <w:tcPr>
            <w:tcW w:w="1695" w:type="dxa"/>
            <w:noWrap w:val="0"/>
            <w:vAlign w:val="center"/>
          </w:tcPr>
          <w:p w14:paraId="26D16D14">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cs="宋体"/>
                <w:b/>
                <w:color w:val="auto"/>
              </w:rPr>
            </w:pPr>
            <w:r>
              <w:rPr>
                <w:rFonts w:hint="eastAsia" w:ascii="宋体" w:hAnsi="宋体" w:cs="宋体"/>
                <w:b/>
                <w:color w:val="000000"/>
                <w:sz w:val="24"/>
                <w:highlight w:val="white"/>
              </w:rPr>
              <w:t>偏离</w:t>
            </w:r>
          </w:p>
          <w:p w14:paraId="1B7FB9B0">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（无/正/负）</w:t>
            </w:r>
          </w:p>
        </w:tc>
        <w:tc>
          <w:tcPr>
            <w:tcW w:w="518" w:type="dxa"/>
            <w:noWrap w:val="0"/>
            <w:vAlign w:val="center"/>
          </w:tcPr>
          <w:p w14:paraId="37723031">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备注</w:t>
            </w:r>
          </w:p>
        </w:tc>
      </w:tr>
      <w:tr w14:paraId="3512F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6BAE3C86">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1</w:t>
            </w:r>
          </w:p>
        </w:tc>
        <w:tc>
          <w:tcPr>
            <w:tcW w:w="1229" w:type="dxa"/>
            <w:noWrap w:val="0"/>
            <w:vAlign w:val="center"/>
          </w:tcPr>
          <w:p w14:paraId="3CF16B11">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14:paraId="7990A7B7">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14:paraId="432CA041">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14:paraId="46444E57">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14:paraId="3DB79EED">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14:paraId="5981D216">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14:paraId="55F09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7001D9D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2</w:t>
            </w:r>
          </w:p>
        </w:tc>
        <w:tc>
          <w:tcPr>
            <w:tcW w:w="1229" w:type="dxa"/>
            <w:noWrap w:val="0"/>
            <w:vAlign w:val="center"/>
          </w:tcPr>
          <w:p w14:paraId="26CA1357">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14:paraId="72B1DE24">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14:paraId="057D3718">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14:paraId="7F0B106E">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14:paraId="23F3618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14:paraId="2FF201DE">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14:paraId="6C116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0B7DE513">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3</w:t>
            </w:r>
          </w:p>
        </w:tc>
        <w:tc>
          <w:tcPr>
            <w:tcW w:w="1229" w:type="dxa"/>
            <w:noWrap w:val="0"/>
            <w:vAlign w:val="center"/>
          </w:tcPr>
          <w:p w14:paraId="15A38FE6">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14:paraId="62115483">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14:paraId="71417751">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14:paraId="205A32D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14:paraId="5D76CE23">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14:paraId="6B7817F2">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14:paraId="58E6C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28761FE9">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4</w:t>
            </w:r>
          </w:p>
        </w:tc>
        <w:tc>
          <w:tcPr>
            <w:tcW w:w="1229" w:type="dxa"/>
            <w:noWrap w:val="0"/>
            <w:vAlign w:val="center"/>
          </w:tcPr>
          <w:p w14:paraId="2BB4F70A">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14:paraId="2F0BF9B7">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14:paraId="64CE99C4">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14:paraId="54257B4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14:paraId="59E68911">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14:paraId="5E001C9A">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14:paraId="2F7E3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64167599">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5</w:t>
            </w:r>
          </w:p>
        </w:tc>
        <w:tc>
          <w:tcPr>
            <w:tcW w:w="1229" w:type="dxa"/>
            <w:noWrap w:val="0"/>
            <w:vAlign w:val="center"/>
          </w:tcPr>
          <w:p w14:paraId="65FBF4B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14:paraId="5457BC51">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14:paraId="6B02E99C">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14:paraId="16488FEE">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14:paraId="5723B01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14:paraId="3484A460">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14:paraId="4026A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658F94B2">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w:t>
            </w:r>
          </w:p>
        </w:tc>
        <w:tc>
          <w:tcPr>
            <w:tcW w:w="1229" w:type="dxa"/>
            <w:noWrap w:val="0"/>
            <w:vAlign w:val="center"/>
          </w:tcPr>
          <w:p w14:paraId="229870AB">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14:paraId="562755F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14:paraId="60DB5A9B">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14:paraId="42D5EDE3">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14:paraId="70DDBE6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14:paraId="2A23253E">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bl>
    <w:p w14:paraId="7C453964">
      <w:pPr>
        <w:adjustRightInd w:val="0"/>
        <w:snapToGrid w:val="0"/>
        <w:spacing w:after="0" w:line="360" w:lineRule="auto"/>
        <w:ind w:firstLine="420" w:firstLineChars="200"/>
        <w:rPr>
          <w:rFonts w:hint="eastAsia" w:ascii="宋体" w:hAnsi="宋体" w:cs="宋体"/>
          <w:color w:val="auto"/>
        </w:rPr>
      </w:pPr>
    </w:p>
    <w:p w14:paraId="5420C3BF">
      <w:pPr>
        <w:keepNext w:val="0"/>
        <w:keepLines w:val="0"/>
        <w:pageBreakBefore w:val="0"/>
        <w:widowControl w:val="0"/>
        <w:kinsoku/>
        <w:wordWrap/>
        <w:overflowPunct/>
        <w:bidi w:val="0"/>
        <w:adjustRightInd w:val="0"/>
        <w:snapToGrid w:val="0"/>
        <w:spacing w:after="0" w:line="240" w:lineRule="auto"/>
        <w:ind w:firstLine="420" w:firstLineChars="200"/>
        <w:textAlignment w:val="auto"/>
        <w:rPr>
          <w:rFonts w:hint="eastAsia" w:ascii="宋体" w:hAnsi="宋体" w:cs="宋体"/>
          <w:color w:val="auto"/>
          <w:szCs w:val="21"/>
        </w:rPr>
      </w:pPr>
    </w:p>
    <w:p w14:paraId="69D82F5D">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ascii="宋体" w:hAnsi="宋体" w:cs="宋体"/>
          <w:color w:val="auto"/>
          <w:szCs w:val="21"/>
        </w:rPr>
      </w:pPr>
      <w:r>
        <w:rPr>
          <w:rFonts w:hint="eastAsia" w:ascii="宋体" w:hAnsi="宋体" w:cs="宋体"/>
          <w:color w:val="000000"/>
          <w:sz w:val="21"/>
          <w:szCs w:val="21"/>
          <w:highlight w:val="white"/>
        </w:rPr>
        <w:t>特别说明：</w:t>
      </w:r>
    </w:p>
    <w:p w14:paraId="0B745848">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1.按照《招标文件-技术部分》内容要求，一一对应填写。如果对《招标文件-技术部分》内容不做一一响应，而将“投标文件应答情况”简单笼统描述为“无偏离”，则视为无效应答。</w:t>
      </w:r>
    </w:p>
    <w:p w14:paraId="27AA54FB">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2.《招标文件-技术部分》内容须条对条应答，不得遗漏。如无偏离，请在此表中填写“无偏离”。如有偏离，请在此表中应答为“正/负偏离”并说明偏离情况</w:t>
      </w:r>
      <w:r>
        <w:rPr>
          <w:rFonts w:hint="eastAsia" w:ascii="宋体" w:hAnsi="宋体" w:cs="宋体"/>
          <w:color w:val="000000"/>
          <w:sz w:val="21"/>
          <w:szCs w:val="21"/>
          <w:highlight w:val="white"/>
          <w:lang w:eastAsia="zh-CN"/>
        </w:rPr>
        <w:t>。</w:t>
      </w:r>
    </w:p>
    <w:p w14:paraId="0993C362">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3.如《招标文件-技术部分》中有标注★号的，则为实质性要求，必须满足，如应答为“负偏离”</w:t>
      </w:r>
      <w:r>
        <w:rPr>
          <w:rFonts w:hint="eastAsia" w:ascii="宋体" w:hAnsi="宋体" w:cs="宋体"/>
          <w:color w:val="000000"/>
          <w:sz w:val="21"/>
          <w:szCs w:val="21"/>
          <w:highlight w:val="white"/>
          <w:lang w:eastAsia="zh-CN"/>
        </w:rPr>
        <w:t>或未应答</w:t>
      </w:r>
      <w:r>
        <w:rPr>
          <w:rFonts w:hint="eastAsia" w:ascii="宋体" w:hAnsi="宋体" w:cs="宋体"/>
          <w:color w:val="000000"/>
          <w:sz w:val="21"/>
          <w:szCs w:val="21"/>
          <w:highlight w:val="white"/>
        </w:rPr>
        <w:t>，将导致投标无效。</w:t>
      </w:r>
    </w:p>
    <w:p w14:paraId="7FAAAF3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hint="eastAsia" w:ascii="宋体" w:hAnsi="宋体" w:cs="宋体"/>
          <w:color w:val="000000"/>
          <w:sz w:val="21"/>
          <w:szCs w:val="21"/>
          <w:highlight w:val="white"/>
        </w:rPr>
        <w:t>4.</w:t>
      </w:r>
      <w:r>
        <w:rPr>
          <w:rFonts w:hint="eastAsia" w:ascii="宋体" w:hAnsi="宋体" w:eastAsia="宋体" w:cs="宋体"/>
          <w:color w:val="000000"/>
          <w:kern w:val="2"/>
          <w:sz w:val="21"/>
          <w:szCs w:val="21"/>
          <w:highlight w:val="white"/>
          <w:lang w:val="en-US" w:eastAsia="zh-CN" w:bidi="ar"/>
        </w:rPr>
        <w:t>如《</w:t>
      </w:r>
      <w:r>
        <w:rPr>
          <w:rFonts w:hint="default" w:ascii="宋体" w:hAnsi="宋体" w:cs="宋体"/>
          <w:color w:val="000000"/>
          <w:kern w:val="2"/>
          <w:sz w:val="21"/>
          <w:szCs w:val="21"/>
          <w:highlight w:val="white"/>
          <w:lang w:eastAsia="zh-CN" w:bidi="ar"/>
        </w:rPr>
        <w:t>招标</w:t>
      </w:r>
      <w:r>
        <w:rPr>
          <w:rFonts w:hint="eastAsia" w:ascii="宋体" w:hAnsi="宋体" w:eastAsia="宋体" w:cs="宋体"/>
          <w:color w:val="000000"/>
          <w:kern w:val="2"/>
          <w:sz w:val="21"/>
          <w:szCs w:val="21"/>
          <w:highlight w:val="white"/>
          <w:lang w:val="en-US" w:eastAsia="zh-CN" w:bidi="ar"/>
        </w:rPr>
        <w:t>文件-技术部分》中有标注“#”为重要指标</w:t>
      </w:r>
      <w:r>
        <w:rPr>
          <w:rFonts w:hint="eastAsia" w:ascii="宋体" w:hAnsi="宋体" w:cs="宋体"/>
          <w:color w:val="000000"/>
          <w:kern w:val="2"/>
          <w:sz w:val="21"/>
          <w:szCs w:val="21"/>
          <w:highlight w:val="white"/>
          <w:lang w:val="en-US" w:eastAsia="zh-CN" w:bidi="ar"/>
        </w:rPr>
        <w:t>项</w:t>
      </w:r>
      <w:r>
        <w:rPr>
          <w:rFonts w:hint="eastAsia" w:ascii="宋体" w:hAnsi="宋体" w:eastAsia="宋体" w:cs="宋体"/>
          <w:color w:val="000000"/>
          <w:kern w:val="2"/>
          <w:sz w:val="21"/>
          <w:szCs w:val="21"/>
          <w:highlight w:val="white"/>
          <w:lang w:val="en-US" w:eastAsia="zh-CN" w:bidi="ar"/>
        </w:rPr>
        <w:t>、标注“△”为一般指标项，接受供应商应答为“负偏离”；如供应商应答为</w:t>
      </w:r>
      <w:r>
        <w:rPr>
          <w:rFonts w:hint="eastAsia" w:ascii="宋体" w:hAnsi="宋体" w:eastAsia="宋体" w:cs="宋体"/>
          <w:b w:val="0"/>
          <w:color w:val="000000"/>
          <w:kern w:val="2"/>
          <w:sz w:val="21"/>
          <w:szCs w:val="21"/>
          <w:highlight w:val="white"/>
          <w:lang w:val="en-US" w:eastAsia="zh-CN" w:bidi="ar"/>
        </w:rPr>
        <w:t>“无偏离”或“正偏离”，</w:t>
      </w:r>
      <w:r>
        <w:rPr>
          <w:rFonts w:hint="eastAsia" w:ascii="宋体" w:hAnsi="宋体" w:eastAsia="宋体" w:cs="宋体"/>
          <w:color w:val="000000"/>
          <w:kern w:val="2"/>
          <w:sz w:val="21"/>
          <w:szCs w:val="21"/>
          <w:highlight w:val="white"/>
          <w:lang w:val="en-US" w:eastAsia="zh-CN" w:bidi="ar"/>
        </w:rPr>
        <w:t>将根据评审标准在评审时</w:t>
      </w:r>
      <w:r>
        <w:rPr>
          <w:rFonts w:hint="eastAsia" w:ascii="宋体" w:hAnsi="宋体" w:cs="宋体"/>
          <w:color w:val="000000"/>
          <w:kern w:val="2"/>
          <w:sz w:val="21"/>
          <w:szCs w:val="21"/>
          <w:highlight w:val="white"/>
          <w:lang w:val="en-US" w:eastAsia="zh-CN" w:bidi="ar"/>
        </w:rPr>
        <w:t>获得相应分值</w:t>
      </w:r>
      <w:r>
        <w:rPr>
          <w:rFonts w:hint="eastAsia" w:ascii="宋体" w:hAnsi="宋体" w:eastAsia="宋体" w:cs="宋体"/>
          <w:color w:val="000000"/>
          <w:kern w:val="2"/>
          <w:sz w:val="21"/>
          <w:szCs w:val="21"/>
          <w:highlight w:val="white"/>
          <w:lang w:val="en-US" w:eastAsia="zh-CN" w:bidi="ar"/>
        </w:rPr>
        <w:t>。</w:t>
      </w:r>
    </w:p>
    <w:p w14:paraId="1B76E103">
      <w:pPr>
        <w:keepNext w:val="0"/>
        <w:keepLines w:val="0"/>
        <w:pageBreakBefore w:val="0"/>
        <w:widowControl w:val="0"/>
        <w:kinsoku/>
        <w:wordWrap/>
        <w:overflowPunct/>
        <w:topLinePunct w:val="0"/>
        <w:autoSpaceDE/>
        <w:autoSpaceDN/>
        <w:bidi w:val="0"/>
        <w:adjustRightInd w:val="0"/>
        <w:snapToGrid w:val="0"/>
        <w:spacing w:beforeAutospacing="0" w:line="240" w:lineRule="auto"/>
        <w:ind w:firstLine="420" w:firstLineChars="200"/>
        <w:textAlignment w:val="auto"/>
        <w:rPr>
          <w:rFonts w:hAnsi="宋体" w:cs="宋体"/>
          <w:color w:val="auto"/>
        </w:rPr>
      </w:pPr>
    </w:p>
    <w:p w14:paraId="55EEB5FB">
      <w:pPr>
        <w:pStyle w:val="2"/>
        <w:rPr>
          <w:color w:val="auto"/>
        </w:rPr>
      </w:pPr>
    </w:p>
    <w:p w14:paraId="3C53CAEE">
      <w:pPr>
        <w:adjustRightInd w:val="0"/>
        <w:snapToGrid w:val="0"/>
        <w:spacing w:line="360" w:lineRule="auto"/>
        <w:ind w:firstLine="480" w:firstLineChars="200"/>
        <w:rPr>
          <w:rFonts w:hAnsi="宋体" w:cs="宋体"/>
          <w:color w:val="auto"/>
        </w:rPr>
      </w:pPr>
      <w:r>
        <w:rPr>
          <w:rFonts w:hint="eastAsia" w:hAnsi="宋体" w:cs="宋体"/>
          <w:color w:val="000000"/>
          <w:sz w:val="24"/>
          <w:highlight w:val="white"/>
        </w:rPr>
        <w:t>投标人名称（电子签章）：</w:t>
      </w:r>
    </w:p>
    <w:p w14:paraId="27014444">
      <w:pPr>
        <w:adjustRightInd w:val="0"/>
        <w:snapToGrid w:val="0"/>
        <w:spacing w:line="360" w:lineRule="auto"/>
        <w:ind w:firstLine="480" w:firstLineChars="200"/>
        <w:rPr>
          <w:rFonts w:hint="eastAsia"/>
        </w:rPr>
      </w:pPr>
      <w:r>
        <w:rPr>
          <w:rFonts w:hint="eastAsia" w:hAnsi="宋体" w:cs="宋体"/>
          <w:color w:val="000000"/>
          <w:sz w:val="24"/>
          <w:highlight w:val="white"/>
        </w:rPr>
        <w:t>日期：</w:t>
      </w:r>
    </w:p>
    <w:p w14:paraId="458165B4">
      <w:pPr>
        <w:topLinePunct/>
        <w:autoSpaceDE w:val="0"/>
        <w:autoSpaceDN w:val="0"/>
        <w:spacing w:line="460" w:lineRule="exact"/>
        <w:jc w:val="center"/>
        <w:rPr>
          <w:rFonts w:hint="eastAsia" w:ascii="宋体" w:hAnsi="宋体" w:cs="宋体"/>
          <w:b/>
          <w:bCs/>
          <w:color w:val="auto"/>
          <w:sz w:val="36"/>
          <w:szCs w:val="36"/>
          <w:highlight w:val="none"/>
        </w:rPr>
      </w:pPr>
      <w:r>
        <w:rPr>
          <w:color w:val="000000"/>
          <w:highlight w:val="white"/>
        </w:rPr>
        <w:br w:type="page"/>
      </w:r>
      <w:r>
        <w:rPr>
          <w:rFonts w:hint="eastAsia" w:ascii="宋体" w:hAnsi="宋体" w:cs="宋体"/>
          <w:b/>
          <w:bCs/>
          <w:color w:val="000000"/>
          <w:sz w:val="36"/>
          <w:szCs w:val="36"/>
          <w:highlight w:val="white"/>
        </w:rPr>
        <w:t>格式8 技术力量一览表</w:t>
      </w:r>
    </w:p>
    <w:tbl>
      <w:tblPr>
        <w:tblStyle w:val="30"/>
        <w:tblW w:w="89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4"/>
        <w:gridCol w:w="1356"/>
        <w:gridCol w:w="1474"/>
        <w:gridCol w:w="1815"/>
        <w:gridCol w:w="1740"/>
        <w:gridCol w:w="1781"/>
      </w:tblGrid>
      <w:tr w14:paraId="5E61B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794" w:type="dxa"/>
            <w:tcBorders>
              <w:top w:val="single" w:color="auto" w:sz="4" w:space="0"/>
              <w:left w:val="single" w:color="auto" w:sz="4" w:space="0"/>
              <w:bottom w:val="single" w:color="auto" w:sz="4" w:space="0"/>
              <w:right w:val="single" w:color="auto" w:sz="4" w:space="0"/>
            </w:tcBorders>
            <w:noWrap/>
            <w:vAlign w:val="center"/>
          </w:tcPr>
          <w:p w14:paraId="52A4EDD6">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b/>
                <w:color w:val="auto"/>
                <w:highlight w:val="none"/>
              </w:rPr>
            </w:pPr>
            <w:r>
              <w:rPr>
                <w:rFonts w:hint="eastAsia" w:ascii="宋体" w:hAnsi="宋体" w:cs="宋体"/>
                <w:b/>
                <w:color w:val="000000"/>
                <w:sz w:val="24"/>
                <w:highlight w:val="white"/>
              </w:rPr>
              <w:t>序号</w:t>
            </w:r>
          </w:p>
        </w:tc>
        <w:tc>
          <w:tcPr>
            <w:tcW w:w="1356" w:type="dxa"/>
            <w:tcBorders>
              <w:top w:val="single" w:color="auto" w:sz="4" w:space="0"/>
              <w:left w:val="single" w:color="auto" w:sz="4" w:space="0"/>
              <w:bottom w:val="single" w:color="auto" w:sz="4" w:space="0"/>
              <w:right w:val="single" w:color="auto" w:sz="4" w:space="0"/>
            </w:tcBorders>
            <w:noWrap/>
            <w:vAlign w:val="center"/>
          </w:tcPr>
          <w:p w14:paraId="213F097E">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b/>
                <w:color w:val="auto"/>
                <w:highlight w:val="none"/>
              </w:rPr>
            </w:pPr>
            <w:r>
              <w:rPr>
                <w:rFonts w:hint="eastAsia" w:ascii="宋体" w:hAnsi="宋体" w:cs="宋体"/>
                <w:b/>
                <w:color w:val="000000"/>
                <w:sz w:val="24"/>
                <w:highlight w:val="white"/>
              </w:rPr>
              <w:t>姓 名</w:t>
            </w:r>
          </w:p>
        </w:tc>
        <w:tc>
          <w:tcPr>
            <w:tcW w:w="1474" w:type="dxa"/>
            <w:tcBorders>
              <w:top w:val="single" w:color="auto" w:sz="4" w:space="0"/>
              <w:left w:val="single" w:color="auto" w:sz="4" w:space="0"/>
              <w:bottom w:val="single" w:color="auto" w:sz="4" w:space="0"/>
              <w:right w:val="single" w:color="auto" w:sz="4" w:space="0"/>
            </w:tcBorders>
            <w:noWrap/>
            <w:vAlign w:val="center"/>
          </w:tcPr>
          <w:p w14:paraId="0A06BF23">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b/>
                <w:color w:val="auto"/>
                <w:highlight w:val="none"/>
              </w:rPr>
            </w:pPr>
            <w:r>
              <w:rPr>
                <w:rFonts w:hint="eastAsia" w:ascii="宋体" w:hAnsi="宋体" w:cs="宋体"/>
                <w:b/>
                <w:color w:val="000000"/>
                <w:sz w:val="24"/>
                <w:highlight w:val="white"/>
              </w:rPr>
              <w:t>技术职称</w:t>
            </w:r>
          </w:p>
        </w:tc>
        <w:tc>
          <w:tcPr>
            <w:tcW w:w="1815" w:type="dxa"/>
            <w:tcBorders>
              <w:top w:val="single" w:color="auto" w:sz="4" w:space="0"/>
              <w:left w:val="single" w:color="auto" w:sz="4" w:space="0"/>
              <w:bottom w:val="single" w:color="auto" w:sz="4" w:space="0"/>
              <w:right w:val="single" w:color="auto" w:sz="4" w:space="0"/>
            </w:tcBorders>
            <w:noWrap/>
            <w:vAlign w:val="center"/>
          </w:tcPr>
          <w:p w14:paraId="5979D95D">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工作年限</w:t>
            </w:r>
          </w:p>
        </w:tc>
        <w:tc>
          <w:tcPr>
            <w:tcW w:w="1740" w:type="dxa"/>
            <w:tcBorders>
              <w:top w:val="single" w:color="auto" w:sz="4" w:space="0"/>
              <w:left w:val="single" w:color="auto" w:sz="4" w:space="0"/>
              <w:bottom w:val="single" w:color="auto" w:sz="4" w:space="0"/>
              <w:right w:val="single" w:color="auto" w:sz="4" w:space="0"/>
            </w:tcBorders>
            <w:noWrap/>
            <w:vAlign w:val="center"/>
          </w:tcPr>
          <w:p w14:paraId="6EB13654">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所在科室</w:t>
            </w:r>
          </w:p>
        </w:tc>
        <w:tc>
          <w:tcPr>
            <w:tcW w:w="1781" w:type="dxa"/>
            <w:tcBorders>
              <w:top w:val="single" w:color="auto" w:sz="4" w:space="0"/>
              <w:left w:val="single" w:color="auto" w:sz="4" w:space="0"/>
              <w:bottom w:val="single" w:color="auto" w:sz="4" w:space="0"/>
              <w:right w:val="single" w:color="auto" w:sz="4" w:space="0"/>
            </w:tcBorders>
            <w:noWrap/>
            <w:vAlign w:val="center"/>
          </w:tcPr>
          <w:p w14:paraId="1A10ADE0">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备注</w:t>
            </w:r>
          </w:p>
        </w:tc>
      </w:tr>
      <w:tr w14:paraId="28E0F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960" w:type="dxa"/>
            <w:gridSpan w:val="6"/>
            <w:tcBorders>
              <w:top w:val="single" w:color="auto" w:sz="4" w:space="0"/>
              <w:left w:val="single" w:color="auto" w:sz="4" w:space="0"/>
              <w:bottom w:val="single" w:color="auto" w:sz="4" w:space="0"/>
              <w:right w:val="single" w:color="auto" w:sz="4" w:space="0"/>
            </w:tcBorders>
            <w:noWrap/>
            <w:vAlign w:val="center"/>
          </w:tcPr>
          <w:p w14:paraId="331026E4">
            <w:pPr>
              <w:keepNext w:val="0"/>
              <w:keepLines w:val="0"/>
              <w:pageBreakBefore w:val="0"/>
              <w:widowControl w:val="0"/>
              <w:numPr>
                <w:ilvl w:val="0"/>
                <w:numId w:val="9"/>
              </w:numPr>
              <w:kinsoku/>
              <w:wordWrap/>
              <w:overflowPunct/>
              <w:topLinePunct w:val="0"/>
              <w:autoSpaceDE/>
              <w:autoSpaceDN/>
              <w:bidi w:val="0"/>
              <w:adjustRightInd w:val="0"/>
              <w:snapToGrid/>
              <w:spacing w:after="0" w:line="240" w:lineRule="auto"/>
              <w:jc w:val="left"/>
              <w:textAlignment w:val="auto"/>
              <w:rPr>
                <w:rFonts w:hint="eastAsia" w:ascii="宋体" w:hAnsi="宋体" w:cs="宋体"/>
                <w:b/>
                <w:bCs/>
                <w:color w:val="auto"/>
                <w:highlight w:val="none"/>
              </w:rPr>
            </w:pPr>
            <w:r>
              <w:rPr>
                <w:rFonts w:hint="eastAsia" w:ascii="宋体" w:hAnsi="宋体" w:cs="宋体"/>
                <w:b/>
                <w:bCs/>
                <w:color w:val="000000"/>
                <w:sz w:val="24"/>
                <w:highlight w:val="white"/>
              </w:rPr>
              <w:t>项目</w:t>
            </w:r>
            <w:r>
              <w:rPr>
                <w:rFonts w:hint="eastAsia" w:ascii="宋体" w:hAnsi="宋体" w:cs="宋体"/>
                <w:b/>
                <w:bCs/>
                <w:color w:val="000000"/>
                <w:sz w:val="24"/>
                <w:highlight w:val="white"/>
                <w:lang w:eastAsia="zh-CN"/>
              </w:rPr>
              <w:t>服务</w:t>
            </w:r>
            <w:r>
              <w:rPr>
                <w:rFonts w:hint="eastAsia" w:ascii="宋体" w:hAnsi="宋体" w:cs="宋体"/>
                <w:b/>
                <w:bCs/>
                <w:color w:val="000000"/>
                <w:sz w:val="24"/>
                <w:highlight w:val="white"/>
              </w:rPr>
              <w:t>人员</w:t>
            </w:r>
          </w:p>
          <w:p w14:paraId="091C2D0A">
            <w:pPr>
              <w:keepNext w:val="0"/>
              <w:keepLines w:val="0"/>
              <w:pageBreakBefore w:val="0"/>
              <w:widowControl w:val="0"/>
              <w:numPr>
                <w:ilvl w:val="0"/>
                <w:numId w:val="0"/>
              </w:numPr>
              <w:kinsoku/>
              <w:wordWrap/>
              <w:overflowPunct/>
              <w:topLinePunct w:val="0"/>
              <w:autoSpaceDE/>
              <w:autoSpaceDN/>
              <w:bidi w:val="0"/>
              <w:adjustRightInd w:val="0"/>
              <w:snapToGrid/>
              <w:spacing w:after="0" w:line="240" w:lineRule="auto"/>
              <w:jc w:val="left"/>
              <w:textAlignment w:val="auto"/>
              <w:rPr>
                <w:rFonts w:hint="default" w:ascii="宋体" w:hAnsi="宋体" w:cs="宋体"/>
                <w:b/>
                <w:bCs/>
                <w:color w:val="auto"/>
                <w:highlight w:val="none"/>
              </w:rPr>
            </w:pPr>
            <w:r>
              <w:rPr>
                <w:rFonts w:hint="eastAsia" w:ascii="宋体" w:hAnsi="宋体" w:cs="宋体"/>
                <w:b/>
                <w:bCs/>
                <w:color w:val="000000"/>
                <w:sz w:val="21"/>
                <w:szCs w:val="21"/>
                <w:highlight w:val="white"/>
                <w:lang w:eastAsia="zh-CN"/>
              </w:rPr>
              <w:t>（一）</w:t>
            </w:r>
            <w:r>
              <w:rPr>
                <w:rFonts w:hint="eastAsia" w:ascii="宋体" w:hAnsi="宋体" w:cs="宋体"/>
                <w:b/>
                <w:bCs/>
                <w:color w:val="000000"/>
                <w:sz w:val="21"/>
                <w:szCs w:val="21"/>
                <w:highlight w:val="white"/>
                <w:lang w:val="en-US" w:eastAsia="zh-CN"/>
              </w:rPr>
              <w:t>.......</w:t>
            </w:r>
          </w:p>
        </w:tc>
      </w:tr>
      <w:tr w14:paraId="6CCB0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94" w:type="dxa"/>
            <w:tcBorders>
              <w:top w:val="single" w:color="auto" w:sz="4" w:space="0"/>
              <w:left w:val="single" w:color="auto" w:sz="4" w:space="0"/>
              <w:bottom w:val="single" w:color="auto" w:sz="4" w:space="0"/>
              <w:right w:val="single" w:color="auto" w:sz="4" w:space="0"/>
            </w:tcBorders>
            <w:noWrap/>
            <w:vAlign w:val="center"/>
          </w:tcPr>
          <w:p w14:paraId="1E28E7DF">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r>
              <w:rPr>
                <w:rFonts w:hint="eastAsia" w:ascii="宋体" w:hAnsi="宋体" w:cs="宋体"/>
                <w:color w:val="000000"/>
                <w:sz w:val="24"/>
                <w:highlight w:val="white"/>
              </w:rPr>
              <w:t>1</w:t>
            </w:r>
          </w:p>
        </w:tc>
        <w:tc>
          <w:tcPr>
            <w:tcW w:w="1356" w:type="dxa"/>
            <w:tcBorders>
              <w:top w:val="single" w:color="auto" w:sz="4" w:space="0"/>
              <w:left w:val="single" w:color="auto" w:sz="4" w:space="0"/>
              <w:bottom w:val="single" w:color="auto" w:sz="4" w:space="0"/>
              <w:right w:val="single" w:color="auto" w:sz="4" w:space="0"/>
            </w:tcBorders>
            <w:noWrap/>
            <w:vAlign w:val="center"/>
          </w:tcPr>
          <w:p w14:paraId="72F86629">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474" w:type="dxa"/>
            <w:tcBorders>
              <w:top w:val="single" w:color="auto" w:sz="4" w:space="0"/>
              <w:left w:val="single" w:color="auto" w:sz="4" w:space="0"/>
              <w:bottom w:val="single" w:color="auto" w:sz="4" w:space="0"/>
              <w:right w:val="single" w:color="auto" w:sz="4" w:space="0"/>
            </w:tcBorders>
            <w:noWrap/>
            <w:vAlign w:val="center"/>
          </w:tcPr>
          <w:p w14:paraId="44C77A66">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815" w:type="dxa"/>
            <w:tcBorders>
              <w:top w:val="single" w:color="auto" w:sz="4" w:space="0"/>
              <w:left w:val="single" w:color="auto" w:sz="4" w:space="0"/>
              <w:bottom w:val="single" w:color="auto" w:sz="4" w:space="0"/>
              <w:right w:val="single" w:color="auto" w:sz="4" w:space="0"/>
            </w:tcBorders>
            <w:noWrap/>
            <w:vAlign w:val="center"/>
          </w:tcPr>
          <w:p w14:paraId="4DBEB6C1">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40" w:type="dxa"/>
            <w:tcBorders>
              <w:top w:val="single" w:color="auto" w:sz="4" w:space="0"/>
              <w:left w:val="single" w:color="auto" w:sz="4" w:space="0"/>
              <w:bottom w:val="single" w:color="auto" w:sz="4" w:space="0"/>
              <w:right w:val="single" w:color="auto" w:sz="4" w:space="0"/>
            </w:tcBorders>
            <w:noWrap/>
            <w:vAlign w:val="center"/>
          </w:tcPr>
          <w:p w14:paraId="04CB460C">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81" w:type="dxa"/>
            <w:tcBorders>
              <w:top w:val="single" w:color="auto" w:sz="4" w:space="0"/>
              <w:left w:val="single" w:color="auto" w:sz="4" w:space="0"/>
              <w:bottom w:val="single" w:color="auto" w:sz="4" w:space="0"/>
              <w:right w:val="single" w:color="auto" w:sz="4" w:space="0"/>
            </w:tcBorders>
            <w:noWrap/>
            <w:vAlign w:val="center"/>
          </w:tcPr>
          <w:p w14:paraId="4E5BC8CE">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r>
      <w:tr w14:paraId="30C83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14:paraId="062E8633">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r>
              <w:rPr>
                <w:rFonts w:hint="eastAsia" w:ascii="宋体" w:hAnsi="宋体" w:cs="宋体"/>
                <w:color w:val="000000"/>
                <w:sz w:val="24"/>
                <w:highlight w:val="white"/>
              </w:rPr>
              <w:t>2</w:t>
            </w:r>
          </w:p>
        </w:tc>
        <w:tc>
          <w:tcPr>
            <w:tcW w:w="1356" w:type="dxa"/>
            <w:tcBorders>
              <w:top w:val="single" w:color="auto" w:sz="4" w:space="0"/>
              <w:left w:val="single" w:color="auto" w:sz="4" w:space="0"/>
              <w:bottom w:val="single" w:color="auto" w:sz="4" w:space="0"/>
              <w:right w:val="single" w:color="auto" w:sz="4" w:space="0"/>
            </w:tcBorders>
            <w:noWrap/>
            <w:vAlign w:val="center"/>
          </w:tcPr>
          <w:p w14:paraId="7F10A8FE">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474" w:type="dxa"/>
            <w:tcBorders>
              <w:top w:val="single" w:color="auto" w:sz="4" w:space="0"/>
              <w:left w:val="single" w:color="auto" w:sz="4" w:space="0"/>
              <w:bottom w:val="single" w:color="auto" w:sz="4" w:space="0"/>
              <w:right w:val="single" w:color="auto" w:sz="4" w:space="0"/>
            </w:tcBorders>
            <w:noWrap/>
            <w:vAlign w:val="center"/>
          </w:tcPr>
          <w:p w14:paraId="6EF302C3">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815" w:type="dxa"/>
            <w:tcBorders>
              <w:top w:val="single" w:color="auto" w:sz="4" w:space="0"/>
              <w:left w:val="single" w:color="auto" w:sz="4" w:space="0"/>
              <w:bottom w:val="single" w:color="auto" w:sz="4" w:space="0"/>
              <w:right w:val="single" w:color="auto" w:sz="4" w:space="0"/>
            </w:tcBorders>
            <w:noWrap/>
            <w:vAlign w:val="center"/>
          </w:tcPr>
          <w:p w14:paraId="36A403D4">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40" w:type="dxa"/>
            <w:tcBorders>
              <w:top w:val="single" w:color="auto" w:sz="4" w:space="0"/>
              <w:left w:val="single" w:color="auto" w:sz="4" w:space="0"/>
              <w:bottom w:val="single" w:color="auto" w:sz="4" w:space="0"/>
              <w:right w:val="single" w:color="auto" w:sz="4" w:space="0"/>
            </w:tcBorders>
            <w:noWrap/>
            <w:vAlign w:val="center"/>
          </w:tcPr>
          <w:p w14:paraId="22AE0114">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81" w:type="dxa"/>
            <w:tcBorders>
              <w:top w:val="single" w:color="auto" w:sz="4" w:space="0"/>
              <w:left w:val="single" w:color="auto" w:sz="4" w:space="0"/>
              <w:bottom w:val="single" w:color="auto" w:sz="4" w:space="0"/>
              <w:right w:val="single" w:color="auto" w:sz="4" w:space="0"/>
            </w:tcBorders>
            <w:noWrap/>
            <w:vAlign w:val="center"/>
          </w:tcPr>
          <w:p w14:paraId="5FBA4AC8">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r>
      <w:tr w14:paraId="2DF8D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14:paraId="59E772A7">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r>
              <w:rPr>
                <w:rFonts w:hint="eastAsia" w:ascii="宋体" w:hAnsi="宋体" w:cs="宋体"/>
                <w:color w:val="000000"/>
                <w:highlight w:val="white"/>
              </w:rPr>
              <w:t>……</w:t>
            </w:r>
          </w:p>
        </w:tc>
        <w:tc>
          <w:tcPr>
            <w:tcW w:w="1356" w:type="dxa"/>
            <w:tcBorders>
              <w:top w:val="single" w:color="auto" w:sz="4" w:space="0"/>
              <w:left w:val="single" w:color="auto" w:sz="4" w:space="0"/>
              <w:bottom w:val="single" w:color="auto" w:sz="4" w:space="0"/>
              <w:right w:val="single" w:color="auto" w:sz="4" w:space="0"/>
            </w:tcBorders>
            <w:noWrap/>
            <w:vAlign w:val="center"/>
          </w:tcPr>
          <w:p w14:paraId="7FA63744">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474" w:type="dxa"/>
            <w:tcBorders>
              <w:top w:val="single" w:color="auto" w:sz="4" w:space="0"/>
              <w:left w:val="single" w:color="auto" w:sz="4" w:space="0"/>
              <w:bottom w:val="single" w:color="auto" w:sz="4" w:space="0"/>
              <w:right w:val="single" w:color="auto" w:sz="4" w:space="0"/>
            </w:tcBorders>
            <w:noWrap/>
            <w:vAlign w:val="center"/>
          </w:tcPr>
          <w:p w14:paraId="14E59B80">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815" w:type="dxa"/>
            <w:tcBorders>
              <w:top w:val="single" w:color="auto" w:sz="4" w:space="0"/>
              <w:left w:val="single" w:color="auto" w:sz="4" w:space="0"/>
              <w:bottom w:val="single" w:color="auto" w:sz="4" w:space="0"/>
              <w:right w:val="single" w:color="auto" w:sz="4" w:space="0"/>
            </w:tcBorders>
            <w:noWrap/>
            <w:vAlign w:val="center"/>
          </w:tcPr>
          <w:p w14:paraId="5A08CE20">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40" w:type="dxa"/>
            <w:tcBorders>
              <w:top w:val="single" w:color="auto" w:sz="4" w:space="0"/>
              <w:left w:val="single" w:color="auto" w:sz="4" w:space="0"/>
              <w:bottom w:val="single" w:color="auto" w:sz="4" w:space="0"/>
              <w:right w:val="single" w:color="auto" w:sz="4" w:space="0"/>
            </w:tcBorders>
            <w:noWrap/>
            <w:vAlign w:val="center"/>
          </w:tcPr>
          <w:p w14:paraId="5ABB2FFC">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81" w:type="dxa"/>
            <w:tcBorders>
              <w:top w:val="single" w:color="auto" w:sz="4" w:space="0"/>
              <w:left w:val="single" w:color="auto" w:sz="4" w:space="0"/>
              <w:bottom w:val="single" w:color="auto" w:sz="4" w:space="0"/>
              <w:right w:val="single" w:color="auto" w:sz="4" w:space="0"/>
            </w:tcBorders>
            <w:noWrap/>
            <w:vAlign w:val="center"/>
          </w:tcPr>
          <w:p w14:paraId="2272DF7B">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r>
      <w:tr w14:paraId="18657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60" w:type="dxa"/>
            <w:gridSpan w:val="6"/>
            <w:tcBorders>
              <w:top w:val="single" w:color="auto" w:sz="4" w:space="0"/>
              <w:left w:val="single" w:color="auto" w:sz="4" w:space="0"/>
              <w:bottom w:val="single" w:color="auto" w:sz="4" w:space="0"/>
              <w:right w:val="single" w:color="auto" w:sz="4" w:space="0"/>
            </w:tcBorders>
            <w:noWrap/>
            <w:vAlign w:val="center"/>
          </w:tcPr>
          <w:p w14:paraId="33527AD5">
            <w:pPr>
              <w:keepNext w:val="0"/>
              <w:keepLines w:val="0"/>
              <w:pageBreakBefore w:val="0"/>
              <w:widowControl w:val="0"/>
              <w:kinsoku/>
              <w:wordWrap/>
              <w:overflowPunct/>
              <w:topLinePunct w:val="0"/>
              <w:autoSpaceDE/>
              <w:autoSpaceDN/>
              <w:bidi w:val="0"/>
              <w:adjustRightInd w:val="0"/>
              <w:snapToGrid/>
              <w:spacing w:after="0" w:line="240" w:lineRule="auto"/>
              <w:jc w:val="left"/>
              <w:textAlignment w:val="auto"/>
              <w:rPr>
                <w:rFonts w:ascii="宋体" w:hAnsi="宋体" w:cs="宋体"/>
                <w:color w:val="auto"/>
                <w:highlight w:val="none"/>
              </w:rPr>
            </w:pPr>
            <w:r>
              <w:rPr>
                <w:rFonts w:hint="eastAsia" w:ascii="宋体" w:hAnsi="宋体" w:cs="宋体"/>
                <w:b/>
                <w:bCs/>
                <w:color w:val="000000"/>
                <w:sz w:val="21"/>
                <w:szCs w:val="21"/>
                <w:highlight w:val="white"/>
                <w:lang w:eastAsia="zh-CN"/>
              </w:rPr>
              <w:t>（二）</w:t>
            </w:r>
            <w:r>
              <w:rPr>
                <w:rFonts w:hint="eastAsia" w:ascii="宋体" w:hAnsi="宋体" w:cs="宋体"/>
                <w:color w:val="000000"/>
                <w:highlight w:val="white"/>
              </w:rPr>
              <w:t>……</w:t>
            </w:r>
          </w:p>
        </w:tc>
      </w:tr>
      <w:tr w14:paraId="12A80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14:paraId="51891481">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r>
              <w:rPr>
                <w:rFonts w:hint="eastAsia" w:ascii="宋体" w:hAnsi="宋体" w:cs="宋体"/>
                <w:color w:val="000000"/>
                <w:sz w:val="24"/>
                <w:highlight w:val="white"/>
              </w:rPr>
              <w:t>1</w:t>
            </w:r>
          </w:p>
        </w:tc>
        <w:tc>
          <w:tcPr>
            <w:tcW w:w="1356" w:type="dxa"/>
            <w:tcBorders>
              <w:top w:val="single" w:color="auto" w:sz="4" w:space="0"/>
              <w:left w:val="single" w:color="auto" w:sz="4" w:space="0"/>
              <w:bottom w:val="single" w:color="auto" w:sz="4" w:space="0"/>
              <w:right w:val="single" w:color="auto" w:sz="4" w:space="0"/>
            </w:tcBorders>
            <w:noWrap/>
            <w:vAlign w:val="center"/>
          </w:tcPr>
          <w:p w14:paraId="3147807F">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474" w:type="dxa"/>
            <w:tcBorders>
              <w:top w:val="single" w:color="auto" w:sz="4" w:space="0"/>
              <w:left w:val="single" w:color="auto" w:sz="4" w:space="0"/>
              <w:bottom w:val="single" w:color="auto" w:sz="4" w:space="0"/>
              <w:right w:val="single" w:color="auto" w:sz="4" w:space="0"/>
            </w:tcBorders>
            <w:noWrap/>
            <w:vAlign w:val="center"/>
          </w:tcPr>
          <w:p w14:paraId="0741BB36">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815" w:type="dxa"/>
            <w:tcBorders>
              <w:top w:val="single" w:color="auto" w:sz="4" w:space="0"/>
              <w:left w:val="single" w:color="auto" w:sz="4" w:space="0"/>
              <w:bottom w:val="single" w:color="auto" w:sz="4" w:space="0"/>
              <w:right w:val="single" w:color="auto" w:sz="4" w:space="0"/>
            </w:tcBorders>
            <w:noWrap/>
            <w:vAlign w:val="center"/>
          </w:tcPr>
          <w:p w14:paraId="1074D97C">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40" w:type="dxa"/>
            <w:tcBorders>
              <w:top w:val="single" w:color="auto" w:sz="4" w:space="0"/>
              <w:left w:val="single" w:color="auto" w:sz="4" w:space="0"/>
              <w:bottom w:val="single" w:color="auto" w:sz="4" w:space="0"/>
              <w:right w:val="single" w:color="auto" w:sz="4" w:space="0"/>
            </w:tcBorders>
            <w:noWrap/>
            <w:vAlign w:val="center"/>
          </w:tcPr>
          <w:p w14:paraId="64158AE0">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81" w:type="dxa"/>
            <w:tcBorders>
              <w:top w:val="single" w:color="auto" w:sz="4" w:space="0"/>
              <w:left w:val="single" w:color="auto" w:sz="4" w:space="0"/>
              <w:bottom w:val="single" w:color="auto" w:sz="4" w:space="0"/>
              <w:right w:val="single" w:color="auto" w:sz="4" w:space="0"/>
            </w:tcBorders>
            <w:noWrap/>
            <w:vAlign w:val="center"/>
          </w:tcPr>
          <w:p w14:paraId="379D2110">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r>
      <w:tr w14:paraId="6C3E1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14:paraId="03FF4574">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r>
              <w:rPr>
                <w:rFonts w:hint="eastAsia" w:ascii="宋体" w:hAnsi="宋体" w:cs="宋体"/>
                <w:color w:val="000000"/>
                <w:sz w:val="24"/>
                <w:highlight w:val="white"/>
              </w:rPr>
              <w:t>2</w:t>
            </w:r>
          </w:p>
        </w:tc>
        <w:tc>
          <w:tcPr>
            <w:tcW w:w="1356" w:type="dxa"/>
            <w:tcBorders>
              <w:top w:val="single" w:color="auto" w:sz="4" w:space="0"/>
              <w:left w:val="single" w:color="auto" w:sz="4" w:space="0"/>
              <w:bottom w:val="single" w:color="auto" w:sz="4" w:space="0"/>
              <w:right w:val="single" w:color="auto" w:sz="4" w:space="0"/>
            </w:tcBorders>
            <w:noWrap/>
            <w:vAlign w:val="center"/>
          </w:tcPr>
          <w:p w14:paraId="52AEF9DD">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474" w:type="dxa"/>
            <w:tcBorders>
              <w:top w:val="single" w:color="auto" w:sz="4" w:space="0"/>
              <w:left w:val="single" w:color="auto" w:sz="4" w:space="0"/>
              <w:bottom w:val="single" w:color="auto" w:sz="4" w:space="0"/>
              <w:right w:val="single" w:color="auto" w:sz="4" w:space="0"/>
            </w:tcBorders>
            <w:noWrap/>
            <w:vAlign w:val="center"/>
          </w:tcPr>
          <w:p w14:paraId="6AFFA679">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815" w:type="dxa"/>
            <w:tcBorders>
              <w:top w:val="single" w:color="auto" w:sz="4" w:space="0"/>
              <w:left w:val="single" w:color="auto" w:sz="4" w:space="0"/>
              <w:bottom w:val="single" w:color="auto" w:sz="4" w:space="0"/>
              <w:right w:val="single" w:color="auto" w:sz="4" w:space="0"/>
            </w:tcBorders>
            <w:noWrap/>
            <w:vAlign w:val="center"/>
          </w:tcPr>
          <w:p w14:paraId="6D2F904E">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40" w:type="dxa"/>
            <w:tcBorders>
              <w:top w:val="single" w:color="auto" w:sz="4" w:space="0"/>
              <w:left w:val="single" w:color="auto" w:sz="4" w:space="0"/>
              <w:bottom w:val="single" w:color="auto" w:sz="4" w:space="0"/>
              <w:right w:val="single" w:color="auto" w:sz="4" w:space="0"/>
            </w:tcBorders>
            <w:noWrap/>
            <w:vAlign w:val="center"/>
          </w:tcPr>
          <w:p w14:paraId="0DE018DF">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81" w:type="dxa"/>
            <w:tcBorders>
              <w:top w:val="single" w:color="auto" w:sz="4" w:space="0"/>
              <w:left w:val="single" w:color="auto" w:sz="4" w:space="0"/>
              <w:bottom w:val="single" w:color="auto" w:sz="4" w:space="0"/>
              <w:right w:val="single" w:color="auto" w:sz="4" w:space="0"/>
            </w:tcBorders>
            <w:noWrap/>
            <w:vAlign w:val="center"/>
          </w:tcPr>
          <w:p w14:paraId="68DE5164">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r>
      <w:tr w14:paraId="079BC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4" w:type="dxa"/>
            <w:tcBorders>
              <w:top w:val="single" w:color="auto" w:sz="4" w:space="0"/>
              <w:left w:val="single" w:color="auto" w:sz="4" w:space="0"/>
              <w:bottom w:val="single" w:color="auto" w:sz="4" w:space="0"/>
              <w:right w:val="single" w:color="auto" w:sz="4" w:space="0"/>
            </w:tcBorders>
            <w:noWrap/>
            <w:vAlign w:val="center"/>
          </w:tcPr>
          <w:p w14:paraId="21029067">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r>
              <w:rPr>
                <w:rFonts w:hint="eastAsia" w:ascii="宋体" w:hAnsi="宋体" w:cs="宋体"/>
                <w:color w:val="000000"/>
                <w:highlight w:val="white"/>
              </w:rPr>
              <w:t>……</w:t>
            </w:r>
          </w:p>
        </w:tc>
        <w:tc>
          <w:tcPr>
            <w:tcW w:w="1356" w:type="dxa"/>
            <w:tcBorders>
              <w:top w:val="single" w:color="auto" w:sz="4" w:space="0"/>
              <w:left w:val="single" w:color="auto" w:sz="4" w:space="0"/>
              <w:bottom w:val="single" w:color="auto" w:sz="4" w:space="0"/>
              <w:right w:val="single" w:color="auto" w:sz="4" w:space="0"/>
            </w:tcBorders>
            <w:noWrap/>
            <w:vAlign w:val="center"/>
          </w:tcPr>
          <w:p w14:paraId="63BCF81A">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474" w:type="dxa"/>
            <w:tcBorders>
              <w:top w:val="single" w:color="auto" w:sz="4" w:space="0"/>
              <w:left w:val="single" w:color="auto" w:sz="4" w:space="0"/>
              <w:bottom w:val="single" w:color="auto" w:sz="4" w:space="0"/>
              <w:right w:val="single" w:color="auto" w:sz="4" w:space="0"/>
            </w:tcBorders>
            <w:noWrap/>
            <w:vAlign w:val="center"/>
          </w:tcPr>
          <w:p w14:paraId="550C0E81">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815" w:type="dxa"/>
            <w:tcBorders>
              <w:top w:val="single" w:color="auto" w:sz="4" w:space="0"/>
              <w:left w:val="single" w:color="auto" w:sz="4" w:space="0"/>
              <w:bottom w:val="single" w:color="auto" w:sz="4" w:space="0"/>
              <w:right w:val="single" w:color="auto" w:sz="4" w:space="0"/>
            </w:tcBorders>
            <w:noWrap/>
            <w:vAlign w:val="center"/>
          </w:tcPr>
          <w:p w14:paraId="072B05E3">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40" w:type="dxa"/>
            <w:tcBorders>
              <w:top w:val="single" w:color="auto" w:sz="4" w:space="0"/>
              <w:left w:val="single" w:color="auto" w:sz="4" w:space="0"/>
              <w:bottom w:val="single" w:color="auto" w:sz="4" w:space="0"/>
              <w:right w:val="single" w:color="auto" w:sz="4" w:space="0"/>
            </w:tcBorders>
            <w:noWrap/>
            <w:vAlign w:val="center"/>
          </w:tcPr>
          <w:p w14:paraId="3D5B45AE">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c>
          <w:tcPr>
            <w:tcW w:w="1781" w:type="dxa"/>
            <w:tcBorders>
              <w:top w:val="single" w:color="auto" w:sz="4" w:space="0"/>
              <w:left w:val="single" w:color="auto" w:sz="4" w:space="0"/>
              <w:bottom w:val="single" w:color="auto" w:sz="4" w:space="0"/>
              <w:right w:val="single" w:color="auto" w:sz="4" w:space="0"/>
            </w:tcBorders>
            <w:noWrap/>
            <w:vAlign w:val="center"/>
          </w:tcPr>
          <w:p w14:paraId="1347F9C6">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ascii="宋体" w:hAnsi="宋体" w:cs="宋体"/>
                <w:color w:val="auto"/>
                <w:highlight w:val="none"/>
              </w:rPr>
            </w:pPr>
          </w:p>
        </w:tc>
      </w:tr>
    </w:tbl>
    <w:p w14:paraId="43234597">
      <w:pPr>
        <w:pStyle w:val="2"/>
        <w:rPr>
          <w:rFonts w:hint="eastAsia" w:ascii="宋体" w:hAnsi="宋体" w:cs="宋体"/>
          <w:b/>
          <w:bCs/>
          <w:color w:val="auto"/>
          <w:sz w:val="36"/>
          <w:szCs w:val="36"/>
          <w:highlight w:val="none"/>
        </w:rPr>
      </w:pPr>
    </w:p>
    <w:p w14:paraId="45D6DF86">
      <w:pPr>
        <w:keepNext w:val="0"/>
        <w:keepLines w:val="0"/>
        <w:pageBreakBefore w:val="0"/>
        <w:widowControl w:val="0"/>
        <w:kinsoku/>
        <w:wordWrap/>
        <w:overflowPunct/>
        <w:bidi w:val="0"/>
        <w:adjustRightInd/>
        <w:snapToGrid/>
        <w:spacing w:after="0" w:line="240" w:lineRule="auto"/>
        <w:textAlignment w:val="auto"/>
        <w:rPr>
          <w:rFonts w:ascii="宋体" w:hAnsi="宋体" w:cs="宋体"/>
          <w:color w:val="auto"/>
          <w:highlight w:val="none"/>
        </w:rPr>
      </w:pPr>
    </w:p>
    <w:p w14:paraId="06791173">
      <w:pPr>
        <w:keepNext w:val="0"/>
        <w:keepLines w:val="0"/>
        <w:pageBreakBefore w:val="0"/>
        <w:widowControl w:val="0"/>
        <w:kinsoku/>
        <w:wordWrap/>
        <w:overflowPunct/>
        <w:bidi w:val="0"/>
        <w:adjustRightInd/>
        <w:snapToGrid/>
        <w:spacing w:after="0" w:line="240" w:lineRule="auto"/>
        <w:textAlignment w:val="auto"/>
        <w:rPr>
          <w:rFonts w:ascii="宋体" w:hAnsi="宋体" w:cs="宋体"/>
          <w:color w:val="auto"/>
          <w:highlight w:val="none"/>
        </w:rPr>
      </w:pPr>
    </w:p>
    <w:p w14:paraId="264967E7">
      <w:pPr>
        <w:keepNext w:val="0"/>
        <w:keepLines w:val="0"/>
        <w:pageBreakBefore w:val="0"/>
        <w:widowControl w:val="0"/>
        <w:kinsoku/>
        <w:wordWrap/>
        <w:overflowPunct/>
        <w:bidi w:val="0"/>
        <w:adjustRightInd/>
        <w:snapToGrid/>
        <w:spacing w:after="0" w:line="240" w:lineRule="auto"/>
        <w:textAlignment w:val="auto"/>
        <w:rPr>
          <w:rFonts w:ascii="宋体" w:hAnsi="宋体" w:cs="宋体"/>
          <w:color w:val="auto"/>
          <w:szCs w:val="21"/>
          <w:highlight w:val="none"/>
        </w:rPr>
      </w:pPr>
      <w:r>
        <w:rPr>
          <w:rFonts w:ascii="宋体" w:hAnsi="宋体" w:cs="宋体"/>
          <w:color w:val="000000"/>
          <w:highlight w:val="white"/>
        </w:rPr>
        <w:t>特别说明：</w:t>
      </w:r>
    </w:p>
    <w:p w14:paraId="7BAA1208">
      <w:pPr>
        <w:rPr>
          <w:rFonts w:hint="eastAsia" w:ascii="宋体" w:hAnsi="宋体" w:cs="宋体"/>
          <w:color w:val="auto"/>
          <w:szCs w:val="21"/>
          <w:highlight w:val="none"/>
        </w:rPr>
      </w:pPr>
      <w:r>
        <w:rPr>
          <w:rFonts w:hint="eastAsia" w:ascii="宋体" w:hAnsi="宋体" w:cs="宋体"/>
          <w:color w:val="000000"/>
          <w:szCs w:val="21"/>
          <w:highlight w:val="white"/>
        </w:rPr>
        <w:t>投标人</w:t>
      </w:r>
      <w:r>
        <w:rPr>
          <w:rFonts w:hint="eastAsia" w:ascii="宋体" w:hAnsi="宋体" w:cs="宋体"/>
          <w:color w:val="000000"/>
          <w:szCs w:val="21"/>
          <w:highlight w:val="white"/>
          <w:lang w:eastAsia="zh-CN"/>
        </w:rPr>
        <w:t>根据实际情况</w:t>
      </w:r>
      <w:r>
        <w:rPr>
          <w:rFonts w:hint="eastAsia" w:ascii="宋体" w:hAnsi="宋体" w:cs="宋体"/>
          <w:color w:val="000000"/>
          <w:szCs w:val="21"/>
          <w:highlight w:val="white"/>
        </w:rPr>
        <w:t>按照上述格式填写投入本项目所有人员的相关信息。</w:t>
      </w:r>
    </w:p>
    <w:p w14:paraId="6B61D4D6">
      <w:pPr>
        <w:pStyle w:val="5"/>
        <w:rPr>
          <w:rFonts w:hint="eastAsia" w:ascii="宋体" w:hAnsi="宋体" w:cs="宋体"/>
          <w:color w:val="auto"/>
          <w:szCs w:val="21"/>
          <w:highlight w:val="none"/>
        </w:rPr>
      </w:pPr>
    </w:p>
    <w:p w14:paraId="6BEAF7E1">
      <w:pPr>
        <w:rPr>
          <w:rFonts w:hint="eastAsia" w:ascii="宋体" w:hAnsi="宋体" w:cs="宋体"/>
          <w:color w:val="auto"/>
          <w:szCs w:val="21"/>
          <w:highlight w:val="none"/>
        </w:rPr>
      </w:pPr>
    </w:p>
    <w:p w14:paraId="2D1090E2">
      <w:pPr>
        <w:ind w:firstLine="4410" w:firstLineChars="2100"/>
        <w:rPr>
          <w:rFonts w:hint="eastAsia" w:ascii="宋体" w:hAnsi="宋体" w:cs="宋体"/>
          <w:color w:val="auto"/>
          <w:szCs w:val="21"/>
          <w:highlight w:val="none"/>
        </w:rPr>
      </w:pPr>
      <w:r>
        <w:rPr>
          <w:rFonts w:hint="eastAsia" w:ascii="宋体" w:hAnsi="宋体" w:cs="宋体"/>
          <w:color w:val="000000"/>
          <w:szCs w:val="21"/>
          <w:highlight w:val="white"/>
          <w:lang w:eastAsia="zh-CN"/>
        </w:rPr>
        <w:t>单位名称（电子签章）：</w:t>
      </w:r>
    </w:p>
    <w:p w14:paraId="5A55F4A0">
      <w:pPr>
        <w:ind w:firstLine="4410" w:firstLineChars="2100"/>
        <w:rPr>
          <w:rFonts w:hint="eastAsia"/>
        </w:rPr>
      </w:pPr>
      <w:r>
        <w:rPr>
          <w:rFonts w:hint="eastAsia" w:ascii="宋体" w:hAnsi="宋体" w:cs="宋体"/>
          <w:color w:val="000000"/>
          <w:szCs w:val="21"/>
          <w:highlight w:val="white"/>
          <w:lang w:eastAsia="zh-CN"/>
        </w:rPr>
        <w:t>日期：</w:t>
      </w:r>
    </w:p>
    <w:p w14:paraId="7BD6D64E">
      <w:pPr>
        <w:topLinePunct/>
        <w:autoSpaceDE w:val="0"/>
        <w:autoSpaceDN w:val="0"/>
        <w:spacing w:line="460" w:lineRule="exact"/>
        <w:jc w:val="center"/>
        <w:rPr>
          <w:rFonts w:hint="eastAsia" w:ascii="宋体" w:hAnsi="宋体" w:cs="宋体"/>
          <w:b/>
          <w:bCs/>
          <w:color w:val="auto"/>
          <w:sz w:val="36"/>
          <w:szCs w:val="36"/>
          <w:highlight w:val="none"/>
        </w:rPr>
      </w:pPr>
      <w:r>
        <w:rPr>
          <w:color w:val="000000"/>
          <w:highlight w:val="white"/>
        </w:rPr>
        <w:br w:type="page"/>
      </w:r>
      <w:r>
        <w:rPr>
          <w:rFonts w:hint="eastAsia" w:ascii="宋体" w:hAnsi="宋体" w:cs="宋体"/>
          <w:b/>
          <w:bCs/>
          <w:color w:val="000000"/>
          <w:sz w:val="36"/>
          <w:szCs w:val="36"/>
          <w:highlight w:val="white"/>
        </w:rPr>
        <w:t>格式9 技术人员简历表</w:t>
      </w:r>
    </w:p>
    <w:tbl>
      <w:tblPr>
        <w:tblStyle w:val="30"/>
        <w:tblW w:w="89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4"/>
        <w:gridCol w:w="1506"/>
        <w:gridCol w:w="1385"/>
        <w:gridCol w:w="1797"/>
        <w:gridCol w:w="1263"/>
      </w:tblGrid>
      <w:tr w14:paraId="63E68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14:paraId="73B02B76">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r>
              <w:rPr>
                <w:rFonts w:hint="eastAsia" w:ascii="宋体" w:hAnsi="宋体" w:cs="宋体"/>
                <w:color w:val="000000"/>
                <w:highlight w:val="white"/>
              </w:rPr>
              <w:t>姓   名</w:t>
            </w:r>
          </w:p>
        </w:tc>
        <w:tc>
          <w:tcPr>
            <w:tcW w:w="1714" w:type="dxa"/>
            <w:tcBorders>
              <w:top w:val="single" w:color="auto" w:sz="4" w:space="0"/>
              <w:left w:val="single" w:color="auto" w:sz="4" w:space="0"/>
              <w:bottom w:val="single" w:color="auto" w:sz="4" w:space="0"/>
              <w:right w:val="single" w:color="auto" w:sz="4" w:space="0"/>
            </w:tcBorders>
            <w:vAlign w:val="center"/>
          </w:tcPr>
          <w:p w14:paraId="4961E8FE">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vAlign w:val="center"/>
          </w:tcPr>
          <w:p w14:paraId="4943F6E2">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r>
              <w:rPr>
                <w:rFonts w:hint="eastAsia" w:ascii="宋体" w:hAnsi="宋体" w:cs="宋体"/>
                <w:color w:val="000000"/>
                <w:highlight w:val="white"/>
              </w:rPr>
              <w:t>性    别</w:t>
            </w:r>
          </w:p>
        </w:tc>
        <w:tc>
          <w:tcPr>
            <w:tcW w:w="1385" w:type="dxa"/>
            <w:tcBorders>
              <w:top w:val="single" w:color="auto" w:sz="4" w:space="0"/>
              <w:left w:val="single" w:color="auto" w:sz="4" w:space="0"/>
              <w:bottom w:val="single" w:color="auto" w:sz="4" w:space="0"/>
              <w:right w:val="single" w:color="auto" w:sz="4" w:space="0"/>
            </w:tcBorders>
            <w:vAlign w:val="center"/>
          </w:tcPr>
          <w:p w14:paraId="1DAF9BA1">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p>
        </w:tc>
        <w:tc>
          <w:tcPr>
            <w:tcW w:w="1797" w:type="dxa"/>
            <w:tcBorders>
              <w:top w:val="single" w:color="auto" w:sz="4" w:space="0"/>
              <w:left w:val="single" w:color="auto" w:sz="4" w:space="0"/>
              <w:bottom w:val="single" w:color="auto" w:sz="4" w:space="0"/>
              <w:right w:val="single" w:color="auto" w:sz="4" w:space="0"/>
            </w:tcBorders>
            <w:vAlign w:val="center"/>
          </w:tcPr>
          <w:p w14:paraId="3FD69007">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r>
              <w:rPr>
                <w:rFonts w:hint="eastAsia" w:ascii="宋体" w:hAnsi="宋体" w:cs="宋体"/>
                <w:color w:val="000000"/>
                <w:highlight w:val="white"/>
              </w:rPr>
              <w:t>出生日期</w:t>
            </w:r>
          </w:p>
        </w:tc>
        <w:tc>
          <w:tcPr>
            <w:tcW w:w="1263" w:type="dxa"/>
            <w:tcBorders>
              <w:top w:val="single" w:color="auto" w:sz="4" w:space="0"/>
              <w:left w:val="single" w:color="auto" w:sz="4" w:space="0"/>
              <w:bottom w:val="single" w:color="auto" w:sz="4" w:space="0"/>
              <w:right w:val="single" w:color="auto" w:sz="4" w:space="0"/>
            </w:tcBorders>
            <w:vAlign w:val="center"/>
          </w:tcPr>
          <w:p w14:paraId="73AC2C32">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p>
        </w:tc>
      </w:tr>
      <w:tr w14:paraId="20B28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14:paraId="077B6237">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r>
              <w:rPr>
                <w:rFonts w:hint="eastAsia" w:ascii="宋体" w:hAnsi="宋体" w:cs="宋体"/>
                <w:color w:val="000000"/>
                <w:highlight w:val="white"/>
              </w:rPr>
              <w:t>学   历</w:t>
            </w:r>
          </w:p>
        </w:tc>
        <w:tc>
          <w:tcPr>
            <w:tcW w:w="1714" w:type="dxa"/>
            <w:tcBorders>
              <w:top w:val="single" w:color="auto" w:sz="4" w:space="0"/>
              <w:left w:val="single" w:color="auto" w:sz="4" w:space="0"/>
              <w:bottom w:val="single" w:color="auto" w:sz="4" w:space="0"/>
              <w:right w:val="single" w:color="auto" w:sz="4" w:space="0"/>
            </w:tcBorders>
            <w:vAlign w:val="center"/>
          </w:tcPr>
          <w:p w14:paraId="21A677E9">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vAlign w:val="center"/>
          </w:tcPr>
          <w:p w14:paraId="3507C176">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r>
              <w:rPr>
                <w:rFonts w:hint="eastAsia" w:ascii="宋体" w:hAnsi="宋体" w:cs="宋体"/>
                <w:color w:val="000000"/>
                <w:highlight w:val="white"/>
              </w:rPr>
              <w:t>毕业学校</w:t>
            </w:r>
          </w:p>
        </w:tc>
        <w:tc>
          <w:tcPr>
            <w:tcW w:w="1385" w:type="dxa"/>
            <w:tcBorders>
              <w:top w:val="single" w:color="auto" w:sz="4" w:space="0"/>
              <w:left w:val="single" w:color="auto" w:sz="4" w:space="0"/>
              <w:bottom w:val="single" w:color="auto" w:sz="4" w:space="0"/>
              <w:right w:val="single" w:color="auto" w:sz="4" w:space="0"/>
            </w:tcBorders>
            <w:vAlign w:val="center"/>
          </w:tcPr>
          <w:p w14:paraId="4106EE6C">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p>
        </w:tc>
        <w:tc>
          <w:tcPr>
            <w:tcW w:w="1797" w:type="dxa"/>
            <w:tcBorders>
              <w:top w:val="single" w:color="auto" w:sz="4" w:space="0"/>
              <w:left w:val="single" w:color="auto" w:sz="4" w:space="0"/>
              <w:bottom w:val="single" w:color="auto" w:sz="4" w:space="0"/>
              <w:right w:val="single" w:color="auto" w:sz="4" w:space="0"/>
            </w:tcBorders>
            <w:vAlign w:val="center"/>
          </w:tcPr>
          <w:p w14:paraId="1DD7E4DE">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r>
              <w:rPr>
                <w:rFonts w:hint="eastAsia" w:ascii="宋体" w:hAnsi="宋体" w:cs="宋体"/>
                <w:color w:val="000000"/>
                <w:highlight w:val="white"/>
              </w:rPr>
              <w:t>技术职称</w:t>
            </w:r>
          </w:p>
        </w:tc>
        <w:tc>
          <w:tcPr>
            <w:tcW w:w="1263" w:type="dxa"/>
            <w:tcBorders>
              <w:top w:val="single" w:color="auto" w:sz="4" w:space="0"/>
              <w:left w:val="single" w:color="auto" w:sz="4" w:space="0"/>
              <w:bottom w:val="single" w:color="auto" w:sz="4" w:space="0"/>
              <w:right w:val="single" w:color="auto" w:sz="4" w:space="0"/>
            </w:tcBorders>
            <w:vAlign w:val="center"/>
          </w:tcPr>
          <w:p w14:paraId="0F031CEA">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p>
        </w:tc>
      </w:tr>
      <w:tr w14:paraId="4C690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14:paraId="0036BCA4">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r>
              <w:rPr>
                <w:rFonts w:hint="eastAsia" w:ascii="宋体" w:hAnsi="宋体" w:cs="宋体"/>
                <w:color w:val="000000"/>
                <w:highlight w:val="white"/>
              </w:rPr>
              <w:t>公司职务</w:t>
            </w:r>
          </w:p>
        </w:tc>
        <w:tc>
          <w:tcPr>
            <w:tcW w:w="1714" w:type="dxa"/>
            <w:tcBorders>
              <w:top w:val="single" w:color="auto" w:sz="4" w:space="0"/>
              <w:left w:val="single" w:color="auto" w:sz="4" w:space="0"/>
              <w:bottom w:val="single" w:color="auto" w:sz="4" w:space="0"/>
              <w:right w:val="single" w:color="auto" w:sz="4" w:space="0"/>
            </w:tcBorders>
            <w:vAlign w:val="center"/>
          </w:tcPr>
          <w:p w14:paraId="667A4DBE">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vAlign w:val="center"/>
          </w:tcPr>
          <w:p w14:paraId="4F20D998">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r>
              <w:rPr>
                <w:rFonts w:hint="eastAsia" w:ascii="宋体" w:hAnsi="宋体" w:cs="宋体"/>
                <w:color w:val="000000"/>
                <w:highlight w:val="white"/>
              </w:rPr>
              <w:t>任职时间</w:t>
            </w:r>
          </w:p>
        </w:tc>
        <w:tc>
          <w:tcPr>
            <w:tcW w:w="1385" w:type="dxa"/>
            <w:tcBorders>
              <w:top w:val="single" w:color="auto" w:sz="4" w:space="0"/>
              <w:left w:val="single" w:color="auto" w:sz="4" w:space="0"/>
              <w:bottom w:val="single" w:color="auto" w:sz="4" w:space="0"/>
              <w:right w:val="single" w:color="auto" w:sz="4" w:space="0"/>
            </w:tcBorders>
            <w:vAlign w:val="center"/>
          </w:tcPr>
          <w:p w14:paraId="2C37B5AB">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p>
        </w:tc>
        <w:tc>
          <w:tcPr>
            <w:tcW w:w="1797" w:type="dxa"/>
            <w:tcBorders>
              <w:top w:val="single" w:color="auto" w:sz="4" w:space="0"/>
              <w:left w:val="single" w:color="auto" w:sz="4" w:space="0"/>
              <w:bottom w:val="single" w:color="auto" w:sz="4" w:space="0"/>
              <w:right w:val="single" w:color="auto" w:sz="4" w:space="0"/>
            </w:tcBorders>
            <w:vAlign w:val="center"/>
          </w:tcPr>
          <w:p w14:paraId="10DBA63D">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r>
              <w:rPr>
                <w:rFonts w:hint="eastAsia" w:ascii="宋体" w:hAnsi="宋体" w:cs="宋体"/>
                <w:color w:val="000000"/>
                <w:highlight w:val="white"/>
              </w:rPr>
              <w:t>本项目任职</w:t>
            </w:r>
            <w:r>
              <w:rPr>
                <w:rFonts w:hint="eastAsia" w:ascii="宋体" w:hAnsi="宋体" w:cs="宋体"/>
                <w:color w:val="000000"/>
                <w:highlight w:val="white"/>
                <w:lang w:eastAsia="zh-CN"/>
              </w:rPr>
              <w:t>科室</w:t>
            </w:r>
          </w:p>
        </w:tc>
        <w:tc>
          <w:tcPr>
            <w:tcW w:w="1263" w:type="dxa"/>
            <w:tcBorders>
              <w:top w:val="single" w:color="auto" w:sz="4" w:space="0"/>
              <w:left w:val="single" w:color="auto" w:sz="4" w:space="0"/>
              <w:bottom w:val="single" w:color="auto" w:sz="4" w:space="0"/>
              <w:right w:val="single" w:color="auto" w:sz="4" w:space="0"/>
            </w:tcBorders>
            <w:vAlign w:val="center"/>
          </w:tcPr>
          <w:p w14:paraId="3FCEF9FB">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p>
        </w:tc>
      </w:tr>
      <w:tr w14:paraId="31075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vAlign w:val="center"/>
          </w:tcPr>
          <w:p w14:paraId="26E42AC4">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r>
              <w:rPr>
                <w:rFonts w:hint="eastAsia" w:ascii="宋体" w:hAnsi="宋体" w:cs="宋体"/>
                <w:color w:val="000000"/>
                <w:highlight w:val="white"/>
                <w:lang w:eastAsia="zh-CN"/>
              </w:rPr>
              <w:t>证书</w:t>
            </w:r>
          </w:p>
        </w:tc>
        <w:tc>
          <w:tcPr>
            <w:tcW w:w="7665" w:type="dxa"/>
            <w:gridSpan w:val="5"/>
            <w:tcBorders>
              <w:top w:val="single" w:color="auto" w:sz="4" w:space="0"/>
              <w:left w:val="single" w:color="auto" w:sz="4" w:space="0"/>
              <w:bottom w:val="single" w:color="auto" w:sz="4" w:space="0"/>
              <w:right w:val="single" w:color="auto" w:sz="4" w:space="0"/>
            </w:tcBorders>
            <w:vAlign w:val="center"/>
          </w:tcPr>
          <w:p w14:paraId="04731F77">
            <w:pPr>
              <w:keepNext w:val="0"/>
              <w:keepLines w:val="0"/>
              <w:pageBreakBefore w:val="0"/>
              <w:widowControl w:val="0"/>
              <w:kinsoku/>
              <w:wordWrap/>
              <w:overflowPunct/>
              <w:topLinePunct w:val="0"/>
              <w:autoSpaceDE/>
              <w:autoSpaceDN/>
              <w:bidi w:val="0"/>
              <w:adjustRightInd w:val="0"/>
              <w:snapToGrid/>
              <w:spacing w:after="0" w:line="240" w:lineRule="auto"/>
              <w:jc w:val="center"/>
              <w:textAlignment w:val="auto"/>
              <w:rPr>
                <w:rFonts w:hint="eastAsia" w:ascii="宋体" w:hAnsi="宋体" w:cs="宋体"/>
                <w:color w:val="auto"/>
                <w:highlight w:val="none"/>
              </w:rPr>
            </w:pPr>
          </w:p>
        </w:tc>
      </w:tr>
      <w:tr w14:paraId="7F53A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tcPr>
          <w:p w14:paraId="4D2B5EA6">
            <w:pPr>
              <w:keepNext w:val="0"/>
              <w:keepLines w:val="0"/>
              <w:pageBreakBefore w:val="0"/>
              <w:widowControl w:val="0"/>
              <w:kinsoku/>
              <w:wordWrap/>
              <w:overflowPunct/>
              <w:topLinePunct w:val="0"/>
              <w:autoSpaceDE/>
              <w:autoSpaceDN/>
              <w:bidi w:val="0"/>
              <w:snapToGrid/>
              <w:spacing w:after="0" w:line="240" w:lineRule="auto"/>
              <w:textAlignment w:val="auto"/>
              <w:rPr>
                <w:rFonts w:hint="eastAsia" w:ascii="宋体" w:hAnsi="宋体" w:cs="宋体"/>
                <w:color w:val="auto"/>
                <w:highlight w:val="none"/>
              </w:rPr>
            </w:pPr>
            <w:r>
              <w:rPr>
                <w:rFonts w:hint="eastAsia" w:ascii="宋体" w:hAnsi="宋体" w:cs="宋体"/>
                <w:color w:val="000000"/>
                <w:highlight w:val="white"/>
              </w:rPr>
              <w:t>工作简历及主要业绩</w:t>
            </w:r>
          </w:p>
          <w:p w14:paraId="1C1700BA">
            <w:pPr>
              <w:keepNext w:val="0"/>
              <w:keepLines w:val="0"/>
              <w:pageBreakBefore w:val="0"/>
              <w:widowControl w:val="0"/>
              <w:kinsoku/>
              <w:wordWrap/>
              <w:overflowPunct/>
              <w:topLinePunct w:val="0"/>
              <w:autoSpaceDE/>
              <w:autoSpaceDN/>
              <w:bidi w:val="0"/>
              <w:adjustRightInd w:val="0"/>
              <w:snapToGrid/>
              <w:spacing w:after="0" w:line="240" w:lineRule="auto"/>
              <w:textAlignment w:val="auto"/>
              <w:rPr>
                <w:rFonts w:hint="eastAsia" w:ascii="宋体" w:hAnsi="宋体" w:cs="宋体"/>
                <w:color w:val="auto"/>
                <w:highlight w:val="none"/>
              </w:rPr>
            </w:pPr>
          </w:p>
        </w:tc>
      </w:tr>
    </w:tbl>
    <w:p w14:paraId="2EEACC4F">
      <w:pPr>
        <w:topLinePunct/>
        <w:autoSpaceDE w:val="0"/>
        <w:autoSpaceDN w:val="0"/>
        <w:spacing w:line="460" w:lineRule="exact"/>
        <w:rPr>
          <w:rFonts w:hint="eastAsia" w:ascii="宋体" w:hAnsi="宋体" w:cs="宋体"/>
          <w:color w:val="auto"/>
          <w:szCs w:val="21"/>
          <w:highlight w:val="none"/>
        </w:rPr>
      </w:pPr>
    </w:p>
    <w:p w14:paraId="14FFB81B">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hint="eastAsia" w:ascii="宋体" w:hAnsi="宋体" w:cs="宋体"/>
          <w:color w:val="auto"/>
          <w:szCs w:val="21"/>
          <w:highlight w:val="none"/>
        </w:rPr>
      </w:pPr>
    </w:p>
    <w:p w14:paraId="1F2B3C17">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hint="eastAsia" w:ascii="宋体" w:hAnsi="宋体" w:cs="宋体"/>
          <w:color w:val="auto"/>
          <w:szCs w:val="21"/>
          <w:highlight w:val="none"/>
        </w:rPr>
      </w:pPr>
      <w:r>
        <w:rPr>
          <w:rFonts w:hint="eastAsia" w:ascii="宋体" w:hAnsi="宋体" w:cs="宋体"/>
          <w:color w:val="000000"/>
          <w:szCs w:val="21"/>
          <w:highlight w:val="white"/>
        </w:rPr>
        <w:t>特别说明：投标人应提供投入本项目所有人员的简历。</w:t>
      </w:r>
    </w:p>
    <w:p w14:paraId="1B39614A">
      <w:pPr>
        <w:pStyle w:val="5"/>
        <w:ind w:left="0" w:leftChars="0" w:firstLine="0" w:firstLineChars="0"/>
        <w:rPr>
          <w:rFonts w:hint="eastAsia" w:ascii="宋体" w:hAnsi="宋体" w:cs="宋体"/>
          <w:color w:val="auto"/>
          <w:szCs w:val="21"/>
          <w:highlight w:val="none"/>
          <w:lang w:val="en-US" w:eastAsia="zh-CN"/>
        </w:rPr>
      </w:pPr>
    </w:p>
    <w:p w14:paraId="748BFD96">
      <w:pPr>
        <w:rPr>
          <w:rFonts w:hint="eastAsia"/>
        </w:rPr>
      </w:pPr>
    </w:p>
    <w:p w14:paraId="3597FF98">
      <w:pPr>
        <w:ind w:firstLine="4410" w:firstLineChars="2100"/>
        <w:rPr>
          <w:rFonts w:hint="eastAsia" w:ascii="宋体" w:hAnsi="宋体" w:cs="宋体"/>
          <w:color w:val="auto"/>
          <w:szCs w:val="21"/>
          <w:highlight w:val="none"/>
        </w:rPr>
      </w:pPr>
      <w:r>
        <w:rPr>
          <w:rFonts w:hint="eastAsia" w:ascii="宋体" w:hAnsi="宋体" w:cs="宋体"/>
          <w:color w:val="000000"/>
          <w:szCs w:val="21"/>
          <w:highlight w:val="white"/>
          <w:lang w:eastAsia="zh-CN"/>
        </w:rPr>
        <w:t>单位名称（电子签章）：</w:t>
      </w:r>
    </w:p>
    <w:p w14:paraId="528B37DF">
      <w:pPr>
        <w:ind w:firstLine="4410" w:firstLineChars="2100"/>
      </w:pPr>
      <w:r>
        <w:rPr>
          <w:rFonts w:hint="eastAsia" w:ascii="宋体" w:hAnsi="宋体" w:cs="宋体"/>
          <w:color w:val="000000"/>
          <w:szCs w:val="21"/>
          <w:highlight w:val="white"/>
          <w:lang w:eastAsia="zh-CN"/>
        </w:rPr>
        <w:t>日期：</w:t>
      </w:r>
    </w:p>
    <w:p w14:paraId="3CA53A62">
      <w:pPr>
        <w:adjustRightInd w:val="0"/>
        <w:snapToGrid w:val="0"/>
        <w:spacing w:after="0" w:line="360" w:lineRule="auto"/>
        <w:jc w:val="both"/>
        <w:rPr>
          <w:rFonts w:hint="default"/>
          <w:lang w:val="en-US"/>
        </w:rPr>
      </w:pPr>
    </w:p>
    <w:bookmarkEnd w:id="0"/>
    <w:sectPr>
      <w:footerReference r:id="rId8" w:type="first"/>
      <w:footerReference r:id="rId7"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长城仿宋">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Wingdings 2">
    <w:altName w:val="Wingdings"/>
    <w:panose1 w:val="05020102010507070707"/>
    <w:charset w:val="00"/>
    <w:family w:val="roman"/>
    <w:pitch w:val="default"/>
    <w:sig w:usb0="00000000" w:usb1="00000000" w:usb2="00000000" w:usb3="00000000" w:csb0="80000000" w:csb1="00000000"/>
  </w:font>
  <w:font w:name="阳光吾坚体">
    <w:altName w:val="DaunPenh"/>
    <w:panose1 w:val="01010100010101010101"/>
    <w:charset w:val="00"/>
    <w:family w:val="auto"/>
    <w:pitch w:val="default"/>
    <w:sig w:usb0="00000000" w:usb1="00000000" w:usb2="00000040" w:usb3="00000000" w:csb0="00000001" w:csb1="00000000"/>
  </w:font>
  <w:font w:name="MingLiU_HKSCS">
    <w:panose1 w:val="02020500000000000000"/>
    <w:charset w:val="88"/>
    <w:family w:val="roman"/>
    <w:pitch w:val="default"/>
    <w:sig w:usb0="A00002FF" w:usb1="38CFFCFA" w:usb2="00000016" w:usb3="00000000" w:csb0="00100001" w:csb1="00000000"/>
  </w:font>
  <w:font w:name="Wingdings">
    <w:panose1 w:val="05000000000000000000"/>
    <w:charset w:val="00"/>
    <w:family w:val="auto"/>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 w:name="DaunPenh">
    <w:panose1 w:val="01010101010101010101"/>
    <w:charset w:val="00"/>
    <w:family w:val="auto"/>
    <w:pitch w:val="default"/>
    <w:sig w:usb0="00000003" w:usb1="00000000" w:usb2="0001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F7EA7"/>
  <w:p w14:paraId="651B3F8E"/>
  <w:p w14:paraId="5A1F47E3"/>
  <w:p w14:paraId="19135004">
    <w:pPr>
      <w:jc w:val="center"/>
    </w:pPr>
    <w:r>
      <w:fldChar w:fldCharType="begin"/>
    </w:r>
    <w:r>
      <w:rPr>
        <w:color w:val="000000"/>
        <w:highlight w:val="white"/>
      </w:rPr>
      <w:instrText xml:space="preserve"> PAGE </w:instrText>
    </w:r>
    <w:r>
      <w:fldChar w:fldCharType="separate"/>
    </w:r>
    <w:r>
      <w:rPr>
        <w:color w:val="000000"/>
        <w:highlight w:val="white"/>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D224B3"/>
  <w:p w14:paraId="16AB87F8">
    <w:pPr>
      <w:jc w:val="center"/>
    </w:pPr>
    <w:r>
      <w:fldChar w:fldCharType="begin"/>
    </w:r>
    <w:r>
      <w:rPr>
        <w:color w:val="000000"/>
        <w:highlight w:val="white"/>
      </w:rPr>
      <w:instrText xml:space="preserve"> PAGE </w:instrText>
    </w:r>
    <w:r>
      <w:fldChar w:fldCharType="separate"/>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2C7FBC"/>
  <w:p w14:paraId="1E9349C7">
    <w:pPr>
      <w:jc w:val="center"/>
    </w:pPr>
    <w:r>
      <w:fldChar w:fldCharType="begin"/>
    </w:r>
    <w:r>
      <w:rPr>
        <w:color w:val="000000"/>
        <w:highlight w:val="white"/>
      </w:rPr>
      <w:instrText xml:space="preserve"> PAGE </w:instrText>
    </w:r>
    <w:r>
      <w:fldChar w:fldCharType="separate"/>
    </w:r>
    <w:r>
      <w:rPr>
        <w:color w:val="000000"/>
        <w:highlight w:val="white"/>
      </w:rPr>
      <w:t>42</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850D1C">
    <w:pPr>
      <w:pStyle w:val="2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7A7975">
                          <w:pPr>
                            <w:pStyle w:val="22"/>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297A7975">
                    <w:pPr>
                      <w:pStyle w:val="22"/>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9A5ED4"/>
    <w:multiLevelType w:val="singleLevel"/>
    <w:tmpl w:val="B99A5ED4"/>
    <w:lvl w:ilvl="0" w:tentative="0">
      <w:start w:val="1"/>
      <w:numFmt w:val="decimal"/>
      <w:lvlText w:val="%1."/>
      <w:lvlJc w:val="left"/>
      <w:pPr>
        <w:tabs>
          <w:tab w:val="left" w:pos="312"/>
        </w:tabs>
      </w:pPr>
    </w:lvl>
  </w:abstractNum>
  <w:abstractNum w:abstractNumId="1">
    <w:nsid w:val="E267D655"/>
    <w:multiLevelType w:val="singleLevel"/>
    <w:tmpl w:val="E267D655"/>
    <w:lvl w:ilvl="0" w:tentative="0">
      <w:start w:val="1"/>
      <w:numFmt w:val="decimal"/>
      <w:lvlText w:val="%1."/>
      <w:lvlJc w:val="left"/>
      <w:pPr>
        <w:ind w:left="425" w:hanging="425"/>
      </w:pPr>
      <w:rPr>
        <w:rFonts w:hint="default"/>
      </w:rPr>
    </w:lvl>
  </w:abstractNum>
  <w:abstractNum w:abstractNumId="2">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3">
    <w:nsid w:val="FB462F22"/>
    <w:multiLevelType w:val="singleLevel"/>
    <w:tmpl w:val="FB462F22"/>
    <w:lvl w:ilvl="0" w:tentative="0">
      <w:start w:val="1"/>
      <w:numFmt w:val="chineseCounting"/>
      <w:suff w:val="nothing"/>
      <w:lvlText w:val="%1、"/>
      <w:lvlJc w:val="left"/>
      <w:rPr>
        <w:rFonts w:hint="eastAsia"/>
      </w:rPr>
    </w:lvl>
  </w:abstractNum>
  <w:abstractNum w:abstractNumId="4">
    <w:nsid w:val="FBF46E1D"/>
    <w:multiLevelType w:val="singleLevel"/>
    <w:tmpl w:val="FBF46E1D"/>
    <w:lvl w:ilvl="0" w:tentative="0">
      <w:start w:val="6"/>
      <w:numFmt w:val="decimal"/>
      <w:suff w:val="space"/>
      <w:lvlText w:val="%1."/>
      <w:lvlJc w:val="left"/>
    </w:lvl>
  </w:abstractNum>
  <w:abstractNum w:abstractNumId="5">
    <w:nsid w:val="00000002"/>
    <w:multiLevelType w:val="multilevel"/>
    <w:tmpl w:val="00000002"/>
    <w:lvl w:ilvl="0" w:tentative="0">
      <w:start w:val="1"/>
      <w:numFmt w:val="decimal"/>
      <w:pStyle w:val="76"/>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6">
    <w:nsid w:val="00000003"/>
    <w:multiLevelType w:val="multilevel"/>
    <w:tmpl w:val="00000003"/>
    <w:lvl w:ilvl="0" w:tentative="0">
      <w:start w:val="1"/>
      <w:numFmt w:val="decimal"/>
      <w:pStyle w:val="65"/>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7">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8">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7"/>
  </w:num>
  <w:num w:numId="2">
    <w:abstractNumId w:val="2"/>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8"/>
  </w:num>
  <w:num w:numId="6">
    <w:abstractNumId w:val="4"/>
  </w:num>
  <w:num w:numId="7">
    <w:abstractNumId w:val="1"/>
  </w:num>
  <w:num w:numId="8">
    <w:abstractNumId w:val="0"/>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420"/>
  <w:drawingGridVerticalSpacing w:val="156"/>
  <w:doNotShadeFormData w:val="1"/>
  <w:noPunctuationKerning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4942992"/>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4F5C14"/>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7"/>
    <w:qFormat/>
    <w:uiPriority w:val="0"/>
    <w:pPr>
      <w:keepNext/>
      <w:keepLines/>
      <w:widowControl w:val="0"/>
      <w:spacing w:before="340" w:after="330" w:line="576" w:lineRule="auto"/>
      <w:ind w:left="0" w:right="0"/>
      <w:jc w:val="both"/>
      <w:outlineLvl w:val="0"/>
    </w:pPr>
    <w:rPr>
      <w:rFonts w:ascii="Times New Roman" w:hAnsi="Times New Roman" w:eastAsia="宋体" w:cs="Times New Roman"/>
      <w:b/>
      <w:bCs/>
      <w:kern w:val="44"/>
      <w:sz w:val="44"/>
      <w:szCs w:val="44"/>
      <w:lang w:val="en-US" w:eastAsia="zh-CN" w:bidi="ar-SA"/>
    </w:rPr>
  </w:style>
  <w:style w:type="paragraph" w:styleId="4">
    <w:name w:val="heading 2"/>
    <w:basedOn w:val="3"/>
    <w:next w:val="5"/>
    <w:link w:val="84"/>
    <w:qFormat/>
    <w:uiPriority w:val="0"/>
    <w:pPr>
      <w:keepNext/>
      <w:keepLines/>
      <w:widowControl w:val="0"/>
      <w:numPr>
        <w:ilvl w:val="1"/>
        <w:numId w:val="1"/>
      </w:numPr>
      <w:tabs>
        <w:tab w:val="left" w:pos="2400"/>
      </w:tabs>
      <w:spacing w:before="260" w:afterLines="50" w:line="416" w:lineRule="auto"/>
      <w:jc w:val="both"/>
      <w:outlineLvl w:val="1"/>
    </w:pPr>
    <w:rPr>
      <w:rFonts w:ascii="Arial" w:hAnsi="Arial" w:eastAsia="黑体" w:cs="Calibri"/>
      <w:sz w:val="32"/>
      <w:szCs w:val="32"/>
      <w:lang w:val="en-US" w:eastAsia="zh-CN" w:bidi="ar-SA"/>
    </w:rPr>
  </w:style>
  <w:style w:type="paragraph" w:styleId="5">
    <w:name w:val="heading 3"/>
    <w:basedOn w:val="1"/>
    <w:next w:val="1"/>
    <w:link w:val="38"/>
    <w:autoRedefine/>
    <w:qFormat/>
    <w:uiPriority w:val="0"/>
    <w:pPr>
      <w:keepNext/>
      <w:keepLines/>
      <w:tabs>
        <w:tab w:val="left" w:pos="0"/>
      </w:tabs>
      <w:spacing w:before="260" w:after="260" w:line="415" w:lineRule="auto"/>
      <w:outlineLvl w:val="2"/>
    </w:pPr>
    <w:rPr>
      <w:rFonts w:ascii="Times New Roman" w:hAnsi="Times New Roman" w:eastAsia="宋体" w:cs="Times New Roman"/>
      <w:b/>
      <w:sz w:val="32"/>
      <w:szCs w:val="32"/>
    </w:rPr>
  </w:style>
  <w:style w:type="paragraph" w:styleId="6">
    <w:name w:val="heading 4"/>
    <w:basedOn w:val="1"/>
    <w:next w:val="1"/>
    <w:link w:val="39"/>
    <w:autoRedefine/>
    <w:qFormat/>
    <w:uiPriority w:val="0"/>
    <w:pPr>
      <w:keepNext/>
      <w:autoSpaceDE w:val="0"/>
      <w:autoSpaceDN w:val="0"/>
      <w:adjustRightInd w:val="0"/>
      <w:jc w:val="left"/>
      <w:outlineLvl w:val="3"/>
    </w:pPr>
    <w:rPr>
      <w:rFonts w:ascii="宋体" w:hAnsi="宋体" w:eastAsia="宋体" w:cs="Times New Roman"/>
      <w:color w:val="0000FF"/>
      <w:kern w:val="0"/>
      <w:sz w:val="28"/>
      <w:szCs w:val="20"/>
    </w:rPr>
  </w:style>
  <w:style w:type="paragraph" w:styleId="7">
    <w:name w:val="heading 5"/>
    <w:basedOn w:val="1"/>
    <w:next w:val="1"/>
    <w:link w:val="40"/>
    <w:autoRedefine/>
    <w:qFormat/>
    <w:uiPriority w:val="0"/>
    <w:pPr>
      <w:keepNext/>
      <w:keepLines/>
      <w:tabs>
        <w:tab w:val="left" w:pos="1008"/>
      </w:tabs>
      <w:spacing w:before="280" w:after="290" w:line="374" w:lineRule="auto"/>
      <w:ind w:left="1008" w:hanging="1008"/>
      <w:outlineLvl w:val="4"/>
    </w:pPr>
    <w:rPr>
      <w:rFonts w:ascii="Verdana" w:hAnsi="Verdana" w:eastAsia="宋体" w:cs="Times New Roman"/>
      <w:b/>
      <w:bCs/>
      <w:sz w:val="28"/>
      <w:szCs w:val="28"/>
    </w:rPr>
  </w:style>
  <w:style w:type="paragraph" w:styleId="8">
    <w:name w:val="heading 6"/>
    <w:basedOn w:val="1"/>
    <w:next w:val="1"/>
    <w:link w:val="41"/>
    <w:autoRedefine/>
    <w:qFormat/>
    <w:uiPriority w:val="0"/>
    <w:pPr>
      <w:keepNext/>
      <w:keepLines/>
      <w:tabs>
        <w:tab w:val="left" w:pos="1152"/>
      </w:tabs>
      <w:spacing w:before="240" w:after="64" w:line="319" w:lineRule="auto"/>
      <w:ind w:left="1152" w:hanging="1152"/>
      <w:outlineLvl w:val="5"/>
    </w:pPr>
    <w:rPr>
      <w:rFonts w:ascii="Arial" w:hAnsi="Arial" w:eastAsia="黑体" w:cs="Times New Roman"/>
      <w:b/>
      <w:bCs/>
      <w:sz w:val="24"/>
    </w:rPr>
  </w:style>
  <w:style w:type="paragraph" w:styleId="9">
    <w:name w:val="heading 7"/>
    <w:basedOn w:val="1"/>
    <w:next w:val="1"/>
    <w:link w:val="42"/>
    <w:qFormat/>
    <w:uiPriority w:val="0"/>
    <w:pPr>
      <w:keepNext/>
      <w:keepLines/>
      <w:tabs>
        <w:tab w:val="left" w:pos="1296"/>
      </w:tabs>
      <w:spacing w:before="240" w:after="64" w:line="319" w:lineRule="auto"/>
      <w:ind w:left="1296" w:hanging="1296"/>
      <w:outlineLvl w:val="6"/>
    </w:pPr>
    <w:rPr>
      <w:rFonts w:ascii="Times New Roman" w:hAnsi="Times New Roman" w:eastAsia="宋体" w:cs="Times New Roman"/>
      <w:b/>
      <w:bCs/>
      <w:sz w:val="24"/>
    </w:rPr>
  </w:style>
  <w:style w:type="paragraph" w:styleId="10">
    <w:name w:val="heading 8"/>
    <w:basedOn w:val="1"/>
    <w:next w:val="1"/>
    <w:link w:val="43"/>
    <w:qFormat/>
    <w:uiPriority w:val="0"/>
    <w:pPr>
      <w:keepNext/>
      <w:keepLines/>
      <w:tabs>
        <w:tab w:val="left" w:pos="1440"/>
      </w:tabs>
      <w:spacing w:before="240" w:after="64" w:line="319" w:lineRule="auto"/>
      <w:ind w:left="1440" w:hanging="1440"/>
      <w:outlineLvl w:val="7"/>
    </w:pPr>
    <w:rPr>
      <w:rFonts w:ascii="Arial" w:hAnsi="Arial" w:eastAsia="黑体" w:cs="Times New Roman"/>
      <w:sz w:val="24"/>
    </w:rPr>
  </w:style>
  <w:style w:type="paragraph" w:styleId="11">
    <w:name w:val="heading 9"/>
    <w:basedOn w:val="1"/>
    <w:next w:val="1"/>
    <w:link w:val="44"/>
    <w:autoRedefine/>
    <w:qFormat/>
    <w:uiPriority w:val="0"/>
    <w:pPr>
      <w:keepNext/>
      <w:keepLines/>
      <w:tabs>
        <w:tab w:val="left" w:pos="1584"/>
      </w:tabs>
      <w:spacing w:before="240" w:after="64" w:line="319" w:lineRule="auto"/>
      <w:ind w:left="1584" w:hanging="1584"/>
      <w:outlineLvl w:val="8"/>
    </w:pPr>
    <w:rPr>
      <w:rFonts w:ascii="Arial" w:hAnsi="Arial" w:eastAsia="黑体" w:cs="Times New Roman"/>
      <w:szCs w:val="21"/>
    </w:rPr>
  </w:style>
  <w:style w:type="character" w:default="1" w:styleId="31">
    <w:name w:val="Default Paragraph Font"/>
    <w:qFormat/>
    <w:uiPriority w:val="0"/>
    <w:rPr>
      <w:rFonts w:ascii="Times New Roman" w:hAnsi="Times New Roman" w:eastAsia="宋体" w:cs="Times New Roman"/>
    </w:rPr>
  </w:style>
  <w:style w:type="table" w:default="1" w:styleId="30">
    <w:name w:val="Normal Table"/>
    <w:qFormat/>
    <w:uiPriority w:val="0"/>
    <w:tblPr>
      <w:tblCellMar>
        <w:top w:w="0" w:type="dxa"/>
        <w:left w:w="108" w:type="dxa"/>
        <w:bottom w:w="0" w:type="dxa"/>
        <w:right w:w="108" w:type="dxa"/>
      </w:tblCellMar>
    </w:tblPr>
  </w:style>
  <w:style w:type="paragraph" w:customStyle="1" w:styleId="2">
    <w:name w:val="Normal Indent1"/>
    <w:autoRedefine/>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paragraph" w:styleId="12">
    <w:name w:val="List Number 2"/>
    <w:basedOn w:val="1"/>
    <w:autoRedefine/>
    <w:qFormat/>
    <w:uiPriority w:val="0"/>
    <w:pPr>
      <w:numPr>
        <w:ilvl w:val="0"/>
        <w:numId w:val="2"/>
      </w:numPr>
    </w:pPr>
  </w:style>
  <w:style w:type="paragraph" w:styleId="13">
    <w:name w:val="Document Map"/>
    <w:basedOn w:val="1"/>
    <w:link w:val="45"/>
    <w:autoRedefine/>
    <w:qFormat/>
    <w:uiPriority w:val="0"/>
    <w:pPr>
      <w:shd w:val="clear" w:color="auto" w:fill="000080"/>
    </w:pPr>
    <w:rPr>
      <w:rFonts w:ascii="Times New Roman" w:hAnsi="Times New Roman" w:eastAsia="宋体" w:cs="Times New Roman"/>
      <w:kern w:val="0"/>
      <w:sz w:val="20"/>
      <w:shd w:val="clear" w:color="auto" w:fill="000080"/>
    </w:rPr>
  </w:style>
  <w:style w:type="paragraph" w:styleId="14">
    <w:name w:val="annotation text"/>
    <w:basedOn w:val="1"/>
    <w:qFormat/>
    <w:uiPriority w:val="0"/>
    <w:pPr>
      <w:jc w:val="left"/>
    </w:pPr>
    <w:rPr>
      <w:rFonts w:ascii="Times New Roman" w:hAnsi="Times New Roman" w:eastAsia="宋体" w:cs="Times New Roman"/>
    </w:rPr>
  </w:style>
  <w:style w:type="paragraph" w:styleId="15">
    <w:name w:val="Body Text 3"/>
    <w:basedOn w:val="1"/>
    <w:autoRedefine/>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w:basedOn w:val="1"/>
    <w:link w:val="46"/>
    <w:autoRedefine/>
    <w:qFormat/>
    <w:uiPriority w:val="0"/>
    <w:pPr>
      <w:widowControl w:val="0"/>
      <w:spacing w:before="0" w:after="120"/>
      <w:ind w:left="0" w:right="0"/>
      <w:jc w:val="both"/>
    </w:pPr>
    <w:rPr>
      <w:rFonts w:ascii="Times New Roman" w:hAnsi="Times New Roman" w:eastAsia="宋体" w:cs="Times New Roman"/>
      <w:kern w:val="2"/>
      <w:sz w:val="21"/>
      <w:szCs w:val="24"/>
      <w:lang w:val="en-US" w:eastAsia="zh-CN" w:bidi="ar-SA"/>
    </w:rPr>
  </w:style>
  <w:style w:type="paragraph" w:styleId="17">
    <w:name w:val="Body Text Indent"/>
    <w:basedOn w:val="1"/>
    <w:link w:val="47"/>
    <w:qFormat/>
    <w:uiPriority w:val="0"/>
    <w:pPr>
      <w:ind w:firstLine="360"/>
    </w:pPr>
    <w:rPr>
      <w:rFonts w:ascii="Times New Roman" w:hAnsi="Times New Roman" w:eastAsia="宋体" w:cs="Times New Roman"/>
      <w:kern w:val="0"/>
      <w:sz w:val="20"/>
      <w:szCs w:val="20"/>
    </w:rPr>
  </w:style>
  <w:style w:type="paragraph" w:styleId="18">
    <w:name w:val="Plain Text"/>
    <w:basedOn w:val="1"/>
    <w:link w:val="48"/>
    <w:autoRedefine/>
    <w:qFormat/>
    <w:uiPriority w:val="0"/>
    <w:pPr>
      <w:widowControl w:val="0"/>
      <w:spacing w:after="0"/>
      <w:jc w:val="both"/>
    </w:pPr>
    <w:rPr>
      <w:rFonts w:ascii="宋体" w:hAnsi="Courier New" w:eastAsia="宋体" w:cs="Times New Roman"/>
      <w:kern w:val="0"/>
      <w:sz w:val="20"/>
      <w:szCs w:val="21"/>
      <w:lang w:bidi="ar-SA"/>
    </w:rPr>
  </w:style>
  <w:style w:type="paragraph" w:styleId="19">
    <w:name w:val="Date"/>
    <w:basedOn w:val="1"/>
    <w:next w:val="1"/>
    <w:link w:val="49"/>
    <w:qFormat/>
    <w:uiPriority w:val="0"/>
    <w:pPr>
      <w:ind w:left="100" w:leftChars="2500"/>
    </w:pPr>
    <w:rPr>
      <w:rFonts w:ascii="Times New Roman" w:hAnsi="Times New Roman" w:eastAsia="宋体" w:cs="Times New Roman"/>
      <w:kern w:val="0"/>
      <w:sz w:val="20"/>
    </w:rPr>
  </w:style>
  <w:style w:type="paragraph" w:styleId="20">
    <w:name w:val="Body Text Indent 2"/>
    <w:basedOn w:val="1"/>
    <w:link w:val="50"/>
    <w:qFormat/>
    <w:uiPriority w:val="0"/>
    <w:pPr>
      <w:ind w:firstLine="630"/>
    </w:pPr>
    <w:rPr>
      <w:rFonts w:ascii="宋体" w:hAnsi="Times New Roman" w:eastAsia="宋体" w:cs="Times New Roman"/>
      <w:kern w:val="0"/>
      <w:sz w:val="28"/>
      <w:szCs w:val="20"/>
    </w:rPr>
  </w:style>
  <w:style w:type="paragraph" w:styleId="21">
    <w:name w:val="Balloon Text"/>
    <w:basedOn w:val="1"/>
    <w:link w:val="51"/>
    <w:qFormat/>
    <w:uiPriority w:val="0"/>
    <w:rPr>
      <w:rFonts w:ascii="Times New Roman" w:hAnsi="Times New Roman" w:eastAsia="宋体" w:cs="Times New Roman"/>
      <w:kern w:val="0"/>
      <w:sz w:val="18"/>
      <w:szCs w:val="18"/>
    </w:rPr>
  </w:style>
  <w:style w:type="paragraph" w:styleId="22">
    <w:name w:val="footer"/>
    <w:basedOn w:val="1"/>
    <w:link w:val="52"/>
    <w:autoRedefine/>
    <w:qFormat/>
    <w:uiPriority w:val="0"/>
    <w:pPr>
      <w:widowControl w:val="0"/>
      <w:tabs>
        <w:tab w:val="center" w:pos="4140"/>
        <w:tab w:val="right" w:pos="8300"/>
      </w:tabs>
      <w:snapToGrid w:val="0"/>
      <w:spacing w:after="0"/>
      <w:jc w:val="left"/>
    </w:pPr>
    <w:rPr>
      <w:rFonts w:ascii="Times New Roman" w:hAnsi="Times New Roman" w:eastAsia="宋体" w:cs="Times New Roman"/>
      <w:kern w:val="0"/>
      <w:sz w:val="18"/>
      <w:szCs w:val="24"/>
      <w:lang w:bidi="ar-SA"/>
    </w:rPr>
  </w:style>
  <w:style w:type="paragraph" w:styleId="23">
    <w:name w:val="header"/>
    <w:basedOn w:val="1"/>
    <w:link w:val="53"/>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kern w:val="0"/>
      <w:sz w:val="18"/>
      <w:szCs w:val="18"/>
    </w:rPr>
  </w:style>
  <w:style w:type="paragraph" w:styleId="24">
    <w:name w:val="toc 1"/>
    <w:basedOn w:val="1"/>
    <w:next w:val="1"/>
    <w:autoRedefine/>
    <w:qFormat/>
    <w:uiPriority w:val="0"/>
    <w:pPr>
      <w:widowControl w:val="0"/>
      <w:spacing w:before="120" w:after="120"/>
      <w:ind w:left="0" w:right="0"/>
      <w:jc w:val="left"/>
    </w:pPr>
    <w:rPr>
      <w:rFonts w:ascii="Times New Roman" w:hAnsi="Times New Roman" w:eastAsia="宋体" w:cs="Times New Roman"/>
      <w:b/>
      <w:bCs/>
      <w:caps/>
      <w:kern w:val="2"/>
      <w:sz w:val="20"/>
      <w:szCs w:val="20"/>
      <w:lang w:val="en-US" w:eastAsia="zh-CN" w:bidi="ar-SA"/>
    </w:rPr>
  </w:style>
  <w:style w:type="paragraph" w:styleId="25">
    <w:name w:val="Body Text Indent 3"/>
    <w:basedOn w:val="1"/>
    <w:link w:val="54"/>
    <w:qFormat/>
    <w:uiPriority w:val="0"/>
    <w:pPr>
      <w:spacing w:line="360" w:lineRule="auto"/>
      <w:ind w:firstLine="480" w:firstLineChars="200"/>
      <w:jc w:val="left"/>
    </w:pPr>
    <w:rPr>
      <w:rFonts w:ascii="Times New Roman" w:hAnsi="Times New Roman" w:eastAsia="宋体" w:cs="Times New Roman"/>
      <w:kern w:val="0"/>
      <w:sz w:val="24"/>
      <w:szCs w:val="20"/>
    </w:rPr>
  </w:style>
  <w:style w:type="paragraph" w:styleId="26">
    <w:name w:val="Body Text 2"/>
    <w:basedOn w:val="1"/>
    <w:link w:val="55"/>
    <w:autoRedefine/>
    <w:qFormat/>
    <w:uiPriority w:val="0"/>
    <w:rPr>
      <w:rFonts w:ascii="仿宋_GB2312" w:hAnsi="Times New Roman" w:eastAsia="仿宋_GB2312" w:cs="Times New Roman"/>
      <w:kern w:val="0"/>
      <w:sz w:val="28"/>
      <w:szCs w:val="20"/>
    </w:rPr>
  </w:style>
  <w:style w:type="paragraph" w:styleId="27">
    <w:name w:val="Normal (Web)"/>
    <w:basedOn w:val="1"/>
    <w:autoRedefine/>
    <w:qFormat/>
    <w:uiPriority w:val="0"/>
    <w:pPr>
      <w:spacing w:before="100" w:beforeAutospacing="1" w:after="100" w:afterAutospacing="1"/>
      <w:ind w:left="0" w:right="0"/>
      <w:jc w:val="left"/>
    </w:pPr>
    <w:rPr>
      <w:kern w:val="0"/>
      <w:sz w:val="24"/>
      <w:lang w:val="en-US" w:eastAsia="zh-CN" w:bidi="ar"/>
    </w:rPr>
  </w:style>
  <w:style w:type="paragraph" w:styleId="28">
    <w:name w:val="Title"/>
    <w:basedOn w:val="1"/>
    <w:link w:val="56"/>
    <w:qFormat/>
    <w:uiPriority w:val="0"/>
    <w:pPr>
      <w:spacing w:before="240" w:after="60"/>
      <w:jc w:val="center"/>
      <w:outlineLvl w:val="0"/>
    </w:pPr>
    <w:rPr>
      <w:rFonts w:ascii="Cambria" w:hAnsi="Cambria" w:eastAsia="宋体" w:cs="Times New Roman"/>
      <w:b/>
      <w:bCs/>
      <w:kern w:val="0"/>
      <w:sz w:val="32"/>
      <w:szCs w:val="32"/>
    </w:rPr>
  </w:style>
  <w:style w:type="paragraph" w:styleId="29">
    <w:name w:val="Body Text First Indent"/>
    <w:basedOn w:val="16"/>
    <w:link w:val="57"/>
    <w:autoRedefine/>
    <w:qFormat/>
    <w:uiPriority w:val="0"/>
    <w:pPr>
      <w:ind w:firstLine="420" w:firstLineChars="100"/>
    </w:pPr>
    <w:rPr>
      <w:rFonts w:ascii="Times New Roman" w:hAnsi="Times New Roman" w:eastAsia="宋体" w:cs="Times New Roman"/>
      <w:kern w:val="0"/>
      <w:sz w:val="20"/>
    </w:rPr>
  </w:style>
  <w:style w:type="character" w:styleId="32">
    <w:name w:val="Strong"/>
    <w:qFormat/>
    <w:uiPriority w:val="0"/>
    <w:rPr>
      <w:rFonts w:ascii="Times New Roman" w:hAnsi="Times New Roman" w:eastAsia="宋体" w:cs="Times New Roman"/>
      <w:b/>
    </w:rPr>
  </w:style>
  <w:style w:type="character" w:styleId="33">
    <w:name w:val="page number"/>
    <w:autoRedefine/>
    <w:qFormat/>
    <w:uiPriority w:val="0"/>
    <w:rPr>
      <w:rFonts w:ascii="Times New Roman" w:hAnsi="Times New Roman" w:eastAsia="宋体" w:cs="Times New Roman"/>
    </w:rPr>
  </w:style>
  <w:style w:type="character" w:styleId="34">
    <w:name w:val="FollowedHyperlink"/>
    <w:autoRedefine/>
    <w:qFormat/>
    <w:uiPriority w:val="0"/>
    <w:rPr>
      <w:rFonts w:hint="eastAsia" w:ascii="微软雅黑" w:hAnsi="微软雅黑" w:eastAsia="微软雅黑" w:cs="微软雅黑"/>
      <w:color w:val="02396F"/>
      <w:u w:val="single"/>
    </w:rPr>
  </w:style>
  <w:style w:type="character" w:styleId="35">
    <w:name w:val="Hyperlink"/>
    <w:qFormat/>
    <w:uiPriority w:val="0"/>
    <w:rPr>
      <w:rFonts w:ascii="Times New Roman" w:hAnsi="Times New Roman" w:eastAsia="宋体" w:cs="Times New Roman"/>
      <w:color w:val="0000FF"/>
      <w:u w:val="single"/>
    </w:rPr>
  </w:style>
  <w:style w:type="paragraph" w:customStyle="1" w:styleId="36">
    <w:name w:val="_Style 3"/>
    <w:basedOn w:val="3"/>
    <w:next w:val="1"/>
    <w:qFormat/>
    <w:uiPriority w:val="0"/>
    <w:pPr>
      <w:widowControl/>
      <w:numPr>
        <w:ilvl w:val="0"/>
        <w:numId w:val="0"/>
      </w:numPr>
      <w:tabs>
        <w:tab w:val="left" w:pos="0"/>
      </w:tabs>
      <w:spacing w:before="240" w:line="259" w:lineRule="auto"/>
      <w:jc w:val="left"/>
      <w:outlineLvl w:val="9"/>
    </w:pPr>
    <w:rPr>
      <w:rFonts w:ascii="Calibri Light" w:hAnsi="Calibri Light" w:eastAsia="宋体" w:cs="Times New Roman"/>
      <w:b w:val="0"/>
      <w:color w:val="2E74B5"/>
      <w:sz w:val="32"/>
      <w:szCs w:val="32"/>
    </w:rPr>
  </w:style>
  <w:style w:type="character" w:customStyle="1" w:styleId="37">
    <w:name w:val="标题 1 Char"/>
    <w:link w:val="3"/>
    <w:qFormat/>
    <w:uiPriority w:val="0"/>
    <w:rPr>
      <w:rFonts w:ascii="Times New Roman" w:hAnsi="Times New Roman" w:eastAsia="宋体" w:cs="Times New Roman"/>
      <w:b/>
      <w:bCs/>
      <w:kern w:val="44"/>
      <w:sz w:val="44"/>
      <w:szCs w:val="44"/>
      <w:lang w:val="en-US" w:eastAsia="zh-CN" w:bidi="ar-SA"/>
    </w:rPr>
  </w:style>
  <w:style w:type="character" w:customStyle="1" w:styleId="38">
    <w:name w:val="标题 3 Char"/>
    <w:link w:val="5"/>
    <w:qFormat/>
    <w:uiPriority w:val="0"/>
    <w:rPr>
      <w:rFonts w:ascii="Times New Roman" w:hAnsi="Times New Roman" w:eastAsia="宋体" w:cs="Times New Roman"/>
      <w:b/>
      <w:bCs/>
      <w:kern w:val="2"/>
      <w:sz w:val="32"/>
      <w:szCs w:val="32"/>
      <w:lang w:val="en-US" w:eastAsia="zh-CN" w:bidi="ar-SA"/>
    </w:rPr>
  </w:style>
  <w:style w:type="character" w:customStyle="1" w:styleId="39">
    <w:name w:val="标题 4 Char"/>
    <w:link w:val="6"/>
    <w:autoRedefine/>
    <w:qFormat/>
    <w:uiPriority w:val="0"/>
    <w:rPr>
      <w:rFonts w:ascii="宋体" w:hAnsi="宋体" w:eastAsia="宋体" w:cs="Times New Roman"/>
      <w:color w:val="0000FF"/>
      <w:sz w:val="28"/>
      <w:lang w:val="en-US" w:eastAsia="zh-CN" w:bidi="ar-SA"/>
    </w:rPr>
  </w:style>
  <w:style w:type="character" w:customStyle="1" w:styleId="40">
    <w:name w:val="标题 5 Char"/>
    <w:link w:val="7"/>
    <w:autoRedefine/>
    <w:qFormat/>
    <w:uiPriority w:val="0"/>
    <w:rPr>
      <w:rFonts w:ascii="Verdana" w:hAnsi="Verdana" w:eastAsia="宋体" w:cs="Times New Roman"/>
      <w:b/>
      <w:bCs/>
      <w:kern w:val="2"/>
      <w:sz w:val="28"/>
      <w:szCs w:val="28"/>
      <w:lang w:val="en-US" w:eastAsia="zh-CN" w:bidi="ar-SA"/>
    </w:rPr>
  </w:style>
  <w:style w:type="character" w:customStyle="1" w:styleId="41">
    <w:name w:val="标题 6 Char"/>
    <w:link w:val="8"/>
    <w:autoRedefine/>
    <w:qFormat/>
    <w:uiPriority w:val="0"/>
    <w:rPr>
      <w:rFonts w:ascii="Arial" w:hAnsi="Arial" w:eastAsia="黑体" w:cs="Times New Roman"/>
      <w:b/>
      <w:bCs/>
      <w:kern w:val="2"/>
      <w:sz w:val="24"/>
      <w:szCs w:val="24"/>
      <w:lang w:val="en-US" w:eastAsia="zh-CN" w:bidi="ar-SA"/>
    </w:rPr>
  </w:style>
  <w:style w:type="character" w:customStyle="1" w:styleId="42">
    <w:name w:val="标题 7 Char"/>
    <w:link w:val="9"/>
    <w:autoRedefine/>
    <w:qFormat/>
    <w:uiPriority w:val="0"/>
    <w:rPr>
      <w:rFonts w:ascii="Times New Roman" w:hAnsi="Times New Roman" w:eastAsia="宋体" w:cs="Times New Roman"/>
      <w:b/>
      <w:bCs/>
      <w:kern w:val="2"/>
      <w:sz w:val="24"/>
      <w:szCs w:val="24"/>
      <w:lang w:val="en-US" w:eastAsia="zh-CN" w:bidi="ar-SA"/>
    </w:rPr>
  </w:style>
  <w:style w:type="character" w:customStyle="1" w:styleId="43">
    <w:name w:val="标题 8 Char"/>
    <w:link w:val="10"/>
    <w:autoRedefine/>
    <w:qFormat/>
    <w:uiPriority w:val="0"/>
    <w:rPr>
      <w:rFonts w:ascii="Arial" w:hAnsi="Arial" w:eastAsia="黑体" w:cs="Times New Roman"/>
      <w:kern w:val="2"/>
      <w:sz w:val="24"/>
      <w:szCs w:val="24"/>
      <w:lang w:val="en-US" w:eastAsia="zh-CN" w:bidi="ar-SA"/>
    </w:rPr>
  </w:style>
  <w:style w:type="character" w:customStyle="1" w:styleId="44">
    <w:name w:val="标题 9 Char"/>
    <w:link w:val="11"/>
    <w:qFormat/>
    <w:uiPriority w:val="0"/>
    <w:rPr>
      <w:rFonts w:ascii="Arial" w:hAnsi="Arial" w:eastAsia="黑体" w:cs="Times New Roman"/>
      <w:kern w:val="2"/>
      <w:sz w:val="21"/>
      <w:szCs w:val="21"/>
      <w:lang w:val="en-US" w:eastAsia="zh-CN" w:bidi="ar-SA"/>
    </w:rPr>
  </w:style>
  <w:style w:type="character" w:customStyle="1" w:styleId="45">
    <w:name w:val="文档结构图 Char"/>
    <w:link w:val="13"/>
    <w:qFormat/>
    <w:uiPriority w:val="0"/>
    <w:rPr>
      <w:rFonts w:ascii="Times New Roman" w:hAnsi="Times New Roman" w:eastAsia="宋体" w:cs="Times New Roman"/>
      <w:szCs w:val="24"/>
      <w:shd w:val="clear" w:color="auto" w:fill="000080"/>
      <w:lang w:bidi="ar-SA"/>
    </w:rPr>
  </w:style>
  <w:style w:type="character" w:customStyle="1" w:styleId="46">
    <w:name w:val="正文文本 Char"/>
    <w:link w:val="16"/>
    <w:autoRedefine/>
    <w:qFormat/>
    <w:uiPriority w:val="0"/>
    <w:rPr>
      <w:rFonts w:ascii="Times New Roman" w:hAnsi="Times New Roman" w:eastAsia="宋体" w:cs="Times New Roman"/>
      <w:kern w:val="2"/>
      <w:sz w:val="21"/>
      <w:szCs w:val="24"/>
      <w:lang w:val="en-US" w:eastAsia="zh-CN" w:bidi="ar-SA"/>
    </w:rPr>
  </w:style>
  <w:style w:type="character" w:customStyle="1" w:styleId="47">
    <w:name w:val="正文文本缩进 Char"/>
    <w:link w:val="17"/>
    <w:autoRedefine/>
    <w:qFormat/>
    <w:uiPriority w:val="0"/>
    <w:rPr>
      <w:rFonts w:ascii="Times New Roman" w:hAnsi="Times New Roman" w:eastAsia="宋体" w:cs="Times New Roman"/>
      <w:lang w:bidi="ar-SA"/>
    </w:rPr>
  </w:style>
  <w:style w:type="character" w:customStyle="1" w:styleId="48">
    <w:name w:val="纯文本 Char"/>
    <w:link w:val="18"/>
    <w:qFormat/>
    <w:uiPriority w:val="0"/>
    <w:rPr>
      <w:rFonts w:ascii="宋体" w:hAnsi="Courier New" w:eastAsia="宋体" w:cs="Times New Roman"/>
      <w:szCs w:val="21"/>
      <w:lang w:bidi="ar-SA"/>
    </w:rPr>
  </w:style>
  <w:style w:type="character" w:customStyle="1" w:styleId="49">
    <w:name w:val="日期 Char"/>
    <w:link w:val="19"/>
    <w:qFormat/>
    <w:uiPriority w:val="0"/>
    <w:rPr>
      <w:rFonts w:ascii="Times New Roman" w:hAnsi="Times New Roman" w:eastAsia="宋体" w:cs="Times New Roman"/>
      <w:szCs w:val="24"/>
      <w:lang w:bidi="ar-SA"/>
    </w:rPr>
  </w:style>
  <w:style w:type="character" w:customStyle="1" w:styleId="50">
    <w:name w:val="正文文本缩进 2 Char"/>
    <w:link w:val="20"/>
    <w:autoRedefine/>
    <w:qFormat/>
    <w:uiPriority w:val="0"/>
    <w:rPr>
      <w:rFonts w:ascii="宋体" w:hAnsi="Times New Roman" w:eastAsia="宋体" w:cs="Times New Roman"/>
      <w:sz w:val="28"/>
      <w:lang w:bidi="ar-SA"/>
    </w:rPr>
  </w:style>
  <w:style w:type="character" w:customStyle="1" w:styleId="51">
    <w:name w:val="批注框文本 Char"/>
    <w:link w:val="21"/>
    <w:qFormat/>
    <w:uiPriority w:val="0"/>
    <w:rPr>
      <w:rFonts w:ascii="Times New Roman" w:hAnsi="Times New Roman" w:eastAsia="宋体" w:cs="Times New Roman"/>
      <w:sz w:val="18"/>
      <w:szCs w:val="18"/>
      <w:lang w:bidi="ar-SA"/>
    </w:rPr>
  </w:style>
  <w:style w:type="character" w:customStyle="1" w:styleId="52">
    <w:name w:val="页脚 Char"/>
    <w:link w:val="22"/>
    <w:qFormat/>
    <w:uiPriority w:val="0"/>
    <w:rPr>
      <w:rFonts w:ascii="Times New Roman" w:hAnsi="Times New Roman" w:eastAsia="宋体" w:cs="Times New Roman"/>
      <w:sz w:val="18"/>
      <w:szCs w:val="24"/>
      <w:lang w:bidi="ar-SA"/>
    </w:rPr>
  </w:style>
  <w:style w:type="character" w:customStyle="1" w:styleId="53">
    <w:name w:val="页眉 Char"/>
    <w:link w:val="23"/>
    <w:autoRedefine/>
    <w:qFormat/>
    <w:uiPriority w:val="0"/>
    <w:rPr>
      <w:rFonts w:ascii="Times New Roman" w:hAnsi="Times New Roman" w:eastAsia="宋体" w:cs="Times New Roman"/>
      <w:sz w:val="18"/>
      <w:szCs w:val="18"/>
      <w:lang w:bidi="ar-SA"/>
    </w:rPr>
  </w:style>
  <w:style w:type="character" w:customStyle="1" w:styleId="54">
    <w:name w:val="正文文本缩进 3 Char"/>
    <w:link w:val="25"/>
    <w:autoRedefine/>
    <w:qFormat/>
    <w:uiPriority w:val="0"/>
    <w:rPr>
      <w:rFonts w:ascii="Times New Roman" w:hAnsi="Times New Roman" w:eastAsia="宋体" w:cs="Times New Roman"/>
      <w:sz w:val="24"/>
      <w:lang w:bidi="ar-SA"/>
    </w:rPr>
  </w:style>
  <w:style w:type="character" w:customStyle="1" w:styleId="55">
    <w:name w:val="正文文本 2 Char"/>
    <w:link w:val="26"/>
    <w:autoRedefine/>
    <w:qFormat/>
    <w:uiPriority w:val="0"/>
    <w:rPr>
      <w:rFonts w:ascii="仿宋_GB2312" w:hAnsi="Times New Roman" w:eastAsia="仿宋_GB2312" w:cs="Times New Roman"/>
      <w:sz w:val="28"/>
      <w:lang w:bidi="ar-SA"/>
    </w:rPr>
  </w:style>
  <w:style w:type="character" w:customStyle="1" w:styleId="56">
    <w:name w:val="标题 Char"/>
    <w:link w:val="28"/>
    <w:autoRedefine/>
    <w:qFormat/>
    <w:uiPriority w:val="0"/>
    <w:rPr>
      <w:rFonts w:ascii="Cambria" w:hAnsi="Cambria" w:eastAsia="宋体" w:cs="Times New Roman"/>
      <w:b/>
      <w:bCs/>
      <w:sz w:val="32"/>
      <w:szCs w:val="32"/>
      <w:lang w:bidi="ar-SA"/>
    </w:rPr>
  </w:style>
  <w:style w:type="character" w:customStyle="1" w:styleId="57">
    <w:name w:val="正文首行缩进 Char"/>
    <w:link w:val="29"/>
    <w:autoRedefine/>
    <w:qFormat/>
    <w:uiPriority w:val="0"/>
    <w:rPr>
      <w:rFonts w:ascii="Times New Roman" w:hAnsi="Times New Roman" w:eastAsia="宋体" w:cs="Times New Roman"/>
      <w:szCs w:val="24"/>
      <w:lang w:bidi="ar-SA"/>
    </w:rPr>
  </w:style>
  <w:style w:type="character" w:customStyle="1" w:styleId="58">
    <w:name w:val="Style .. + 宋体 五号 Black Char"/>
    <w:link w:val="59"/>
    <w:autoRedefine/>
    <w:qFormat/>
    <w:uiPriority w:val="0"/>
    <w:rPr>
      <w:rFonts w:ascii="宋体" w:hAnsi="宋体" w:eastAsia="宋体" w:cs="Times New Roman"/>
      <w:color w:val="000000"/>
      <w:sz w:val="24"/>
      <w:lang w:bidi="ar-SA"/>
    </w:rPr>
  </w:style>
  <w:style w:type="paragraph" w:customStyle="1" w:styleId="59">
    <w:name w:val="Style .. + 宋体 五号 Black"/>
    <w:basedOn w:val="1"/>
    <w:link w:val="58"/>
    <w:autoRedefine/>
    <w:qFormat/>
    <w:uiPriority w:val="0"/>
    <w:pPr>
      <w:autoSpaceDE w:val="0"/>
      <w:autoSpaceDN w:val="0"/>
      <w:adjustRightInd w:val="0"/>
      <w:spacing w:line="360" w:lineRule="auto"/>
      <w:jc w:val="left"/>
    </w:pPr>
    <w:rPr>
      <w:rFonts w:ascii="宋体" w:hAnsi="宋体" w:eastAsia="宋体" w:cs="Times New Roman"/>
      <w:color w:val="000000"/>
      <w:kern w:val="0"/>
      <w:sz w:val="24"/>
      <w:szCs w:val="20"/>
    </w:rPr>
  </w:style>
  <w:style w:type="character" w:customStyle="1" w:styleId="60">
    <w:name w:val="gjfg"/>
    <w:basedOn w:val="31"/>
    <w:autoRedefine/>
    <w:qFormat/>
    <w:uiPriority w:val="0"/>
  </w:style>
  <w:style w:type="character" w:customStyle="1" w:styleId="61">
    <w:name w:val="cfdate"/>
    <w:autoRedefine/>
    <w:qFormat/>
    <w:uiPriority w:val="0"/>
    <w:rPr>
      <w:rFonts w:ascii="Times New Roman" w:hAnsi="Times New Roman" w:eastAsia="宋体" w:cs="Times New Roman"/>
      <w:color w:val="333333"/>
      <w:sz w:val="12"/>
      <w:szCs w:val="12"/>
    </w:rPr>
  </w:style>
  <w:style w:type="character" w:customStyle="1" w:styleId="62">
    <w:name w:val="正文文字 Char"/>
    <w:link w:val="63"/>
    <w:autoRedefine/>
    <w:qFormat/>
    <w:uiPriority w:val="0"/>
    <w:rPr>
      <w:rFonts w:ascii="Times New Roman" w:hAnsi="Times New Roman" w:eastAsia="宋体" w:cs="Times New Roman"/>
      <w:sz w:val="24"/>
      <w:szCs w:val="24"/>
      <w:lang w:bidi="ar-SA"/>
    </w:rPr>
  </w:style>
  <w:style w:type="paragraph" w:customStyle="1" w:styleId="63">
    <w:name w:val="正文文字"/>
    <w:basedOn w:val="1"/>
    <w:link w:val="62"/>
    <w:autoRedefine/>
    <w:qFormat/>
    <w:uiPriority w:val="0"/>
    <w:pPr>
      <w:spacing w:before="60" w:after="60" w:line="360" w:lineRule="auto"/>
      <w:ind w:firstLine="200" w:firstLineChars="200"/>
      <w:jc w:val="left"/>
    </w:pPr>
    <w:rPr>
      <w:rFonts w:ascii="Times New Roman" w:hAnsi="Times New Roman" w:eastAsia="宋体" w:cs="Times New Roman"/>
      <w:kern w:val="0"/>
      <w:sz w:val="24"/>
    </w:rPr>
  </w:style>
  <w:style w:type="character" w:customStyle="1" w:styleId="64">
    <w:name w:val="ll2 Char Char"/>
    <w:link w:val="65"/>
    <w:autoRedefine/>
    <w:qFormat/>
    <w:uiPriority w:val="0"/>
    <w:rPr>
      <w:rFonts w:ascii="宋体" w:hAnsi="宋体" w:eastAsia="Times New Roman" w:cs="Times New Roman"/>
      <w:bCs/>
      <w:color w:val="000000"/>
      <w:sz w:val="24"/>
      <w:szCs w:val="32"/>
      <w:lang w:val="en-US" w:eastAsia="zh-CN" w:bidi="ar-SA"/>
    </w:rPr>
  </w:style>
  <w:style w:type="paragraph" w:customStyle="1" w:styleId="65">
    <w:name w:val="ll2"/>
    <w:link w:val="64"/>
    <w:autoRedefine/>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6">
    <w:name w:val="正文文本 Char1"/>
    <w:qFormat/>
    <w:uiPriority w:val="0"/>
    <w:rPr>
      <w:rFonts w:ascii="Times New Roman" w:hAnsi="Times New Roman" w:eastAsia="宋体" w:cs="Times New Roman"/>
      <w:szCs w:val="24"/>
    </w:rPr>
  </w:style>
  <w:style w:type="character" w:customStyle="1" w:styleId="67">
    <w:name w:val="qxdate"/>
    <w:qFormat/>
    <w:uiPriority w:val="0"/>
    <w:rPr>
      <w:rFonts w:ascii="Times New Roman" w:hAnsi="Times New Roman" w:eastAsia="宋体" w:cs="Times New Roman"/>
      <w:color w:val="333333"/>
      <w:sz w:val="12"/>
      <w:szCs w:val="12"/>
    </w:rPr>
  </w:style>
  <w:style w:type="character" w:customStyle="1" w:styleId="68">
    <w:name w:val="redfilefwwh"/>
    <w:autoRedefine/>
    <w:qFormat/>
    <w:uiPriority w:val="0"/>
    <w:rPr>
      <w:rFonts w:ascii="Times New Roman" w:hAnsi="Times New Roman" w:eastAsia="宋体" w:cs="Times New Roman"/>
      <w:color w:val="BA2636"/>
      <w:sz w:val="12"/>
      <w:szCs w:val="12"/>
    </w:rPr>
  </w:style>
  <w:style w:type="character" w:customStyle="1" w:styleId="69">
    <w:name w:val="redfilenumber"/>
    <w:qFormat/>
    <w:uiPriority w:val="0"/>
    <w:rPr>
      <w:rFonts w:ascii="Times New Roman" w:hAnsi="Times New Roman" w:eastAsia="宋体" w:cs="Times New Roman"/>
      <w:color w:val="BA2636"/>
      <w:sz w:val="12"/>
      <w:szCs w:val="12"/>
    </w:rPr>
  </w:style>
  <w:style w:type="character" w:customStyle="1" w:styleId="70">
    <w:name w:val="displayarti"/>
    <w:autoRedefine/>
    <w:qFormat/>
    <w:uiPriority w:val="0"/>
    <w:rPr>
      <w:rFonts w:ascii="Times New Roman" w:hAnsi="Times New Roman" w:eastAsia="宋体" w:cs="Times New Roman"/>
      <w:color w:val="FFFFFF"/>
      <w:shd w:val="clear" w:color="auto" w:fill="A00000"/>
    </w:rPr>
  </w:style>
  <w:style w:type="character" w:customStyle="1" w:styleId="71">
    <w:name w:val="文档正文 Char"/>
    <w:link w:val="72"/>
    <w:qFormat/>
    <w:uiPriority w:val="0"/>
    <w:rPr>
      <w:rFonts w:ascii="长城仿宋" w:hAnsi="Times New Roman" w:eastAsia="宋体" w:cs="Times New Roman"/>
      <w:sz w:val="24"/>
      <w:lang w:bidi="ar-SA"/>
    </w:rPr>
  </w:style>
  <w:style w:type="paragraph" w:customStyle="1" w:styleId="72">
    <w:name w:val="文档正文"/>
    <w:basedOn w:val="1"/>
    <w:link w:val="71"/>
    <w:autoRedefine/>
    <w:qFormat/>
    <w:uiPriority w:val="0"/>
    <w:pPr>
      <w:adjustRightInd w:val="0"/>
      <w:spacing w:line="480" w:lineRule="atLeast"/>
      <w:ind w:firstLine="567"/>
    </w:pPr>
    <w:rPr>
      <w:rFonts w:ascii="长城仿宋" w:hAnsi="Times New Roman" w:eastAsia="宋体" w:cs="Times New Roman"/>
      <w:kern w:val="0"/>
      <w:sz w:val="24"/>
      <w:szCs w:val="20"/>
    </w:rPr>
  </w:style>
  <w:style w:type="paragraph" w:customStyle="1" w:styleId="73">
    <w:name w:val="Char"/>
    <w:basedOn w:val="1"/>
    <w:qFormat/>
    <w:uiPriority w:val="0"/>
    <w:rPr>
      <w:rFonts w:ascii="Tahoma" w:hAnsi="Tahoma" w:eastAsia="宋体" w:cs="Times New Roman"/>
      <w:sz w:val="24"/>
      <w:szCs w:val="20"/>
    </w:rPr>
  </w:style>
  <w:style w:type="paragraph" w:customStyle="1" w:styleId="74">
    <w:name w:val=" Char Char Char"/>
    <w:basedOn w:val="1"/>
    <w:qFormat/>
    <w:uiPriority w:val="0"/>
    <w:rPr>
      <w:rFonts w:ascii="Tahoma" w:hAnsi="Tahoma" w:eastAsia="宋体" w:cs="Times New Roman"/>
      <w:sz w:val="24"/>
      <w:szCs w:val="20"/>
    </w:rPr>
  </w:style>
  <w:style w:type="paragraph" w:customStyle="1" w:styleId="75">
    <w:name w:val="正文（绿盟科技）"/>
    <w:autoRedefine/>
    <w:qFormat/>
    <w:uiPriority w:val="0"/>
    <w:pPr>
      <w:spacing w:after="160" w:line="300" w:lineRule="auto"/>
    </w:pPr>
    <w:rPr>
      <w:rFonts w:ascii="Arial" w:hAnsi="Arial" w:eastAsia="宋体" w:cs="黑体"/>
      <w:sz w:val="21"/>
      <w:szCs w:val="21"/>
      <w:lang w:val="en-US" w:eastAsia="zh-CN" w:bidi="ar-SA"/>
    </w:rPr>
  </w:style>
  <w:style w:type="paragraph" w:customStyle="1" w:styleId="76">
    <w:name w:val="样式1"/>
    <w:basedOn w:val="1"/>
    <w:autoRedefine/>
    <w:qFormat/>
    <w:uiPriority w:val="0"/>
    <w:pPr>
      <w:numPr>
        <w:ilvl w:val="0"/>
        <w:numId w:val="4"/>
      </w:numPr>
      <w:adjustRightInd w:val="0"/>
    </w:pPr>
    <w:rPr>
      <w:rFonts w:ascii="宋体" w:hAnsi="宋体" w:eastAsia="宋体" w:cs="Times New Roman"/>
      <w:kern w:val="0"/>
      <w:szCs w:val="20"/>
    </w:rPr>
  </w:style>
  <w:style w:type="paragraph" w:customStyle="1" w:styleId="77">
    <w:name w:val="标题 5（有编号）（绿盟科技）"/>
    <w:basedOn w:val="1"/>
    <w:next w:val="75"/>
    <w:autoRedefine/>
    <w:qFormat/>
    <w:uiPriority w:val="0"/>
    <w:pPr>
      <w:keepNext/>
      <w:keepLines/>
      <w:numPr>
        <w:ilvl w:val="4"/>
        <w:numId w:val="5"/>
      </w:numPr>
      <w:spacing w:before="280" w:after="156" w:line="377" w:lineRule="auto"/>
      <w:jc w:val="left"/>
      <w:outlineLvl w:val="4"/>
    </w:pPr>
    <w:rPr>
      <w:rFonts w:ascii="Arial" w:hAnsi="Arial" w:eastAsia="黑体" w:cs="黑体"/>
      <w:b/>
      <w:kern w:val="0"/>
      <w:sz w:val="24"/>
      <w:szCs w:val="28"/>
    </w:rPr>
  </w:style>
  <w:style w:type="paragraph" w:customStyle="1" w:styleId="78">
    <w:name w:val="正常"/>
    <w:basedOn w:val="79"/>
    <w:autoRedefine/>
    <w:qFormat/>
    <w:uiPriority w:val="0"/>
    <w:rPr>
      <w:sz w:val="24"/>
    </w:rPr>
  </w:style>
  <w:style w:type="paragraph" w:customStyle="1" w:styleId="79">
    <w:name w:val="小正常"/>
    <w:basedOn w:val="1"/>
    <w:qFormat/>
    <w:uiPriority w:val="0"/>
    <w:rPr>
      <w:rFonts w:cs="Times New Roman"/>
      <w:sz w:val="20"/>
      <w:szCs w:val="20"/>
    </w:rPr>
  </w:style>
  <w:style w:type="table" w:customStyle="1" w:styleId="80">
    <w:name w:val="Table Normal_0"/>
    <w:autoRedefine/>
    <w:semiHidden/>
    <w:unhideWhenUsed/>
    <w:qFormat/>
    <w:uiPriority w:val="0"/>
    <w:pPr>
      <w:spacing w:after="160" w:line="259" w:lineRule="auto"/>
    </w:pPr>
    <w:tblPr>
      <w:tblCellMar>
        <w:top w:w="0" w:type="dxa"/>
        <w:left w:w="0" w:type="dxa"/>
        <w:bottom w:w="0" w:type="dxa"/>
        <w:right w:w="0" w:type="dxa"/>
      </w:tblCellMar>
    </w:tblPr>
  </w:style>
  <w:style w:type="paragraph" w:styleId="81">
    <w:name w:val="List Paragraph"/>
    <w:basedOn w:val="1"/>
    <w:qFormat/>
    <w:uiPriority w:val="34"/>
    <w:pPr>
      <w:ind w:firstLine="420"/>
    </w:pPr>
    <w:rPr>
      <w:kern w:val="0"/>
      <w:szCs w:val="21"/>
    </w:rPr>
  </w:style>
  <w:style w:type="paragraph" w:customStyle="1" w:styleId="82">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3">
    <w:name w:val="样式 样式 样式 标题 2 + 宋体 五号 非加粗 黑色 + 段前: 6 磅 段后: 0 磅 行距: 单倍行距 + 段前: 12..."/>
    <w:basedOn w:val="1"/>
    <w:autoRedefine/>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84">
    <w:name w:val="标题 2 Char"/>
    <w:link w:val="4"/>
    <w:autoRedefine/>
    <w:qFormat/>
    <w:uiPriority w:val="0"/>
    <w:rPr>
      <w:rFonts w:ascii="Arial" w:hAnsi="Arial" w:eastAsia="黑体" w:cs="Calibri"/>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China</Company>
  <Pages>52</Pages>
  <Words>2662</Words>
  <Characters>2928</Characters>
  <Lines>217</Lines>
  <Paragraphs>61</Paragraphs>
  <TotalTime>12</TotalTime>
  <ScaleCrop>false</ScaleCrop>
  <LinksUpToDate>false</LinksUpToDate>
  <CharactersWithSpaces>2965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2020-04-23T23:26:00Z</dcterms:created>
  <dc:creator>Administrator</dc:creator>
  <cp:lastModifiedBy>井刚</cp:lastModifiedBy>
  <cp:lastPrinted>2020-10-14T19:19:00Z</cp:lastPrinted>
  <dcterms:modified xsi:type="dcterms:W3CDTF">2025-12-18T02:39:36Z</dcterms:modified>
  <dc:title>招 标 文 件</dc:titl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2052-12.1.0.23542</vt:lpwstr>
  </property>
  <property fmtid="{D5CDD505-2E9C-101B-9397-08002B2CF9AE}" pid="4" name="KSOTemplateDocerSaveRecord">
    <vt:lpwstr>eyJoZGlkIjoiZTYyNDA4MTljYTQ4MjdjYjA5ODNmY2M3MTAxMTdkYjciLCJ1c2VySWQiOiIxMzAzNTY5OTYyIn0=</vt:lpwstr>
  </property>
</Properties>
</file>