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国家税务总局长春市南关区税务局干部职工体检服务项目(二包)第三次采购</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JL2025-ZXGK-C0110-B00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国家税务总局长春市税务局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2025年11月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1.2.2体检人数及标准</w:t>
        </w:r>
        <w:r>
          <w:tab/>
        </w:r>
        <w:r>
          <w:fldChar w:fldCharType="begin"/>
        </w:r>
        <w:r>
          <w:instrText xml:space="preserve"> PAGEREF _Toc256000005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kern w:val="36"/>
          </w:rPr>
          <w:t>2投标/响应要求</w:t>
        </w:r>
        <w:r>
          <w:tab/>
        </w:r>
        <w:r>
          <w:fldChar w:fldCharType="begin"/>
        </w:r>
        <w:r>
          <w:instrText xml:space="preserve"> PAGEREF _Toc256000007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2.1对供应商的要求</w:t>
        </w:r>
        <w:r>
          <w:tab/>
        </w:r>
        <w:r>
          <w:fldChar w:fldCharType="begin"/>
        </w:r>
        <w:r>
          <w:instrText xml:space="preserve"> PAGEREF _Toc256000008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2.1.1必备资质</w:t>
        </w:r>
        <w:r>
          <w:tab/>
        </w:r>
        <w:r>
          <w:fldChar w:fldCharType="begin"/>
        </w:r>
        <w:r>
          <w:instrText xml:space="preserve"> PAGEREF _Toc256000009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2.1.2是否允许联合体</w:t>
        </w:r>
        <w:r>
          <w:tab/>
        </w:r>
        <w:r>
          <w:fldChar w:fldCharType="begin"/>
        </w:r>
        <w:r>
          <w:instrText xml:space="preserve"> PAGEREF _Toc256000010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2.1.3是否专门面向中小企业</w:t>
        </w:r>
        <w:r>
          <w:tab/>
        </w:r>
        <w:r>
          <w:fldChar w:fldCharType="begin"/>
        </w:r>
        <w:r>
          <w:instrText xml:space="preserve"> PAGEREF _Toc256000011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2.1.4其他要求</w:t>
        </w:r>
        <w:r>
          <w:tab/>
        </w:r>
        <w:r>
          <w:fldChar w:fldCharType="begin"/>
        </w:r>
        <w:r>
          <w:instrText xml:space="preserve"> PAGEREF _Toc256000012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2.2技术部分投标/响应内容</w:t>
        </w:r>
        <w:r>
          <w:tab/>
        </w:r>
        <w:r>
          <w:fldChar w:fldCharType="begin"/>
        </w:r>
        <w:r>
          <w:instrText xml:space="preserve"> PAGEREF _Toc256000013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2.2.1投标/响应方案要求</w:t>
        </w:r>
        <w:r>
          <w:tab/>
        </w:r>
        <w:r>
          <w:fldChar w:fldCharType="begin"/>
        </w:r>
        <w:r>
          <w:instrText xml:space="preserve"> PAGEREF _Toc256000014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3.1总体要求</w:t>
        </w:r>
        <w:r>
          <w:tab/>
        </w:r>
        <w:r>
          <w:fldChar w:fldCharType="begin"/>
        </w:r>
        <w:r>
          <w:instrText xml:space="preserve"> PAGEREF _Toc256000016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3.2具体要求</w:t>
        </w:r>
        <w:r>
          <w:tab/>
        </w:r>
        <w:r>
          <w:fldChar w:fldCharType="begin"/>
        </w:r>
        <w:r>
          <w:instrText xml:space="preserve"> PAGEREF _Toc256000017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kern w:val="36"/>
          </w:rPr>
          <w:t>4人员要求</w:t>
        </w:r>
        <w:r>
          <w:tab/>
        </w:r>
        <w:r>
          <w:fldChar w:fldCharType="begin"/>
        </w:r>
        <w:r>
          <w:instrText xml:space="preserve"> PAGEREF _Toc256000018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4.1团队要求</w:t>
        </w:r>
        <w:r>
          <w:tab/>
        </w:r>
        <w:r>
          <w:fldChar w:fldCharType="begin"/>
        </w:r>
        <w:r>
          <w:instrText xml:space="preserve"> PAGEREF _Toc256000019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4.1.1基本要求</w:t>
        </w:r>
        <w:r>
          <w:tab/>
        </w:r>
        <w:r>
          <w:fldChar w:fldCharType="begin"/>
        </w:r>
        <w:r>
          <w:instrText xml:space="preserve"> PAGEREF _Toc256000020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kern w:val="36"/>
          </w:rPr>
          <w:t>5管理实施要求</w:t>
        </w:r>
        <w:r>
          <w:tab/>
        </w:r>
        <w:r>
          <w:fldChar w:fldCharType="begin"/>
        </w:r>
        <w:r>
          <w:instrText xml:space="preserve"> PAGEREF _Toc256000021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kern w:val="36"/>
          </w:rPr>
          <w:t>6风险管控要求</w:t>
        </w:r>
        <w:r>
          <w:tab/>
        </w:r>
        <w:r>
          <w:fldChar w:fldCharType="begin"/>
        </w:r>
        <w:r>
          <w:instrText xml:space="preserve"> PAGEREF _Toc256000022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kern w:val="36"/>
          </w:rPr>
          <w:t>7履约验收要求</w:t>
        </w:r>
        <w:r>
          <w:tab/>
        </w:r>
        <w:r>
          <w:fldChar w:fldCharType="begin"/>
        </w:r>
        <w:r>
          <w:instrText xml:space="preserve"> PAGEREF _Toc256000023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7.1总体要求</w:t>
        </w:r>
        <w:r>
          <w:tab/>
        </w:r>
        <w:r>
          <w:fldChar w:fldCharType="begin"/>
        </w:r>
        <w:r>
          <w:instrText xml:space="preserve"> PAGEREF _Toc256000024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kern w:val="36"/>
          </w:rPr>
          <w:t>8其他要求</w:t>
        </w:r>
        <w:r>
          <w:tab/>
        </w:r>
        <w:r>
          <w:fldChar w:fldCharType="begin"/>
        </w:r>
        <w:r>
          <w:instrText xml:space="preserve"> PAGEREF _Toc256000025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8.1付款安排建议</w:t>
        </w:r>
        <w:r>
          <w:tab/>
        </w:r>
        <w:r>
          <w:fldChar w:fldCharType="begin"/>
        </w:r>
        <w:r>
          <w:instrText xml:space="preserve"> PAGEREF _Toc256000026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8.2其他要求</w:t>
        </w:r>
        <w:r>
          <w:tab/>
        </w:r>
        <w:r>
          <w:fldChar w:fldCharType="begin"/>
        </w:r>
        <w:r>
          <w:instrText xml:space="preserve"> PAGEREF _Toc256000027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8.2.1其他要求</w:t>
        </w:r>
        <w:r>
          <w:tab/>
        </w:r>
        <w:r>
          <w:fldChar w:fldCharType="begin"/>
        </w:r>
        <w:r>
          <w:instrText xml:space="preserve"> PAGEREF _Toc256000028 \h </w:instrText>
        </w:r>
        <w:r>
          <w:fldChar w:fldCharType="separate"/>
        </w:r>
        <w:r>
          <w:t>8</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p"/>
        <w:spacing w:before="0" w:after="0" w:line="360" w:lineRule="auto"/>
        <w:ind w:left="0" w:right="0" w:firstLine="640"/>
        <w:textAlignment w:val="baseline"/>
      </w:pPr>
      <w:r>
        <w:rPr>
          <w:rFonts w:ascii="仿宋_GB2312" w:eastAsia="仿宋_GB2312" w:hAnsi="仿宋_GB2312" w:cs="仿宋_GB2312"/>
          <w:sz w:val="32"/>
          <w:szCs w:val="32"/>
        </w:rPr>
        <w:t>为充分体现组织关怀，提高干部职工的健康水平，根据</w:t>
      </w:r>
      <w:r>
        <w:rPr>
          <w:rFonts w:ascii="仿宋_GB2312" w:eastAsia="仿宋_GB2312" w:hAnsi="仿宋_GB2312" w:cs="仿宋_GB2312"/>
          <w:sz w:val="32"/>
          <w:szCs w:val="32"/>
        </w:rPr>
        <w:t>区</w:t>
      </w:r>
      <w:r>
        <w:rPr>
          <w:rFonts w:ascii="仿宋_GB2312" w:eastAsia="仿宋_GB2312" w:hAnsi="仿宋_GB2312" w:cs="仿宋_GB2312"/>
          <w:sz w:val="32"/>
          <w:szCs w:val="32"/>
        </w:rPr>
        <w:t>局机关体检工作计划和年度经费预算安排，拟组织</w:t>
      </w:r>
      <w:r>
        <w:rPr>
          <w:rFonts w:ascii="仿宋_GB2312" w:eastAsia="仿宋_GB2312" w:hAnsi="仿宋_GB2312" w:cs="仿宋_GB2312"/>
          <w:sz w:val="32"/>
          <w:szCs w:val="32"/>
        </w:rPr>
        <w:t>区</w:t>
      </w:r>
      <w:r>
        <w:rPr>
          <w:rFonts w:ascii="仿宋_GB2312" w:eastAsia="仿宋_GB2312" w:hAnsi="仿宋_GB2312" w:cs="仿宋_GB2312"/>
          <w:sz w:val="32"/>
          <w:szCs w:val="32"/>
        </w:rPr>
        <w:t>局在职和退休人员健康体检</w:t>
      </w:r>
      <w:r>
        <w:rPr>
          <w:rFonts w:ascii="仿宋_GB2312" w:eastAsia="仿宋_GB2312" w:hAnsi="仿宋_GB2312" w:cs="仿宋_GB2312"/>
          <w:sz w:val="32"/>
          <w:szCs w:val="32"/>
        </w:rPr>
        <w:t>。</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1.2.1采购内容</w:t>
      </w:r>
      <w:bookmarkEnd w:id="8"/>
    </w:p>
    <w:p>
      <w:pPr>
        <w:pStyle w:val="p"/>
        <w:spacing w:before="0" w:after="0" w:line="360" w:lineRule="auto"/>
        <w:ind w:left="0" w:firstLine="640"/>
        <w:rPr>
          <w:sz w:val="32"/>
          <w:szCs w:val="32"/>
        </w:rPr>
      </w:pPr>
      <w:r>
        <w:rPr>
          <w:rFonts w:ascii="仿宋_GB2312" w:eastAsia="仿宋_GB2312" w:hAnsi="仿宋_GB2312" w:cs="仿宋_GB2312"/>
          <w:sz w:val="32"/>
          <w:szCs w:val="32"/>
        </w:rPr>
        <w:t>（1）为国家税务总局</w:t>
      </w:r>
      <w:r>
        <w:rPr>
          <w:rFonts w:ascii="仿宋_GB2312" w:eastAsia="仿宋_GB2312" w:hAnsi="仿宋_GB2312" w:cs="仿宋_GB2312"/>
          <w:sz w:val="32"/>
          <w:szCs w:val="32"/>
        </w:rPr>
        <w:t>长春市南关区</w:t>
      </w:r>
      <w:r>
        <w:rPr>
          <w:rFonts w:ascii="仿宋_GB2312" w:eastAsia="仿宋_GB2312" w:hAnsi="仿宋_GB2312" w:cs="仿宋_GB2312"/>
          <w:sz w:val="32"/>
          <w:szCs w:val="32"/>
        </w:rPr>
        <w:t>税务局</w:t>
      </w:r>
      <w:r>
        <w:rPr>
          <w:rFonts w:ascii="仿宋_GB2312" w:eastAsia="仿宋_GB2312" w:hAnsi="仿宋_GB2312" w:cs="仿宋_GB2312"/>
          <w:sz w:val="32"/>
          <w:szCs w:val="32"/>
        </w:rPr>
        <w:t>干部职工提供体检服务，标准</w:t>
      </w:r>
      <w:r>
        <w:rPr>
          <w:rFonts w:ascii="仿宋_GB2312" w:eastAsia="仿宋_GB2312" w:hAnsi="仿宋_GB2312" w:cs="仿宋_GB2312"/>
          <w:sz w:val="32"/>
          <w:szCs w:val="32"/>
        </w:rPr>
        <w:t>2000元</w:t>
      </w:r>
      <w:r>
        <w:rPr>
          <w:rFonts w:ascii="仿宋_GB2312" w:eastAsia="仿宋_GB2312" w:hAnsi="仿宋_GB2312" w:cs="仿宋_GB2312"/>
          <w:sz w:val="32"/>
          <w:szCs w:val="32"/>
        </w:rPr>
        <w:t>/</w:t>
      </w:r>
      <w:r>
        <w:rPr>
          <w:rFonts w:ascii="仿宋_GB2312" w:eastAsia="仿宋_GB2312" w:hAnsi="仿宋_GB2312" w:cs="仿宋_GB2312"/>
          <w:sz w:val="32"/>
          <w:szCs w:val="32"/>
        </w:rPr>
        <w:t>人</w:t>
      </w:r>
      <w:r>
        <w:rPr>
          <w:rFonts w:ascii="仿宋_GB2312" w:eastAsia="仿宋_GB2312" w:hAnsi="仿宋_GB2312" w:cs="仿宋_GB2312"/>
          <w:sz w:val="32"/>
          <w:szCs w:val="32"/>
        </w:rPr>
        <w:t>。</w:t>
      </w:r>
      <w:r>
        <w:rPr>
          <w:rFonts w:ascii="仿宋_GB2312" w:eastAsia="仿宋_GB2312" w:hAnsi="仿宋_GB2312" w:cs="仿宋_GB2312"/>
          <w:sz w:val="32"/>
          <w:szCs w:val="32"/>
        </w:rPr>
        <w:t>人数</w:t>
      </w:r>
      <w:r>
        <w:rPr>
          <w:rFonts w:ascii="仿宋_GB2312" w:eastAsia="仿宋_GB2312" w:hAnsi="仿宋_GB2312" w:cs="仿宋_GB2312"/>
          <w:sz w:val="32"/>
          <w:szCs w:val="32"/>
        </w:rPr>
        <w:t>为</w:t>
      </w:r>
      <w:r>
        <w:rPr>
          <w:rFonts w:ascii="仿宋_GB2312" w:eastAsia="仿宋_GB2312" w:hAnsi="仿宋_GB2312" w:cs="仿宋_GB2312"/>
          <w:sz w:val="32"/>
          <w:szCs w:val="32"/>
        </w:rPr>
        <w:t>616</w:t>
      </w:r>
      <w:r>
        <w:rPr>
          <w:rFonts w:ascii="仿宋_GB2312" w:eastAsia="仿宋_GB2312" w:hAnsi="仿宋_GB2312" w:cs="仿宋_GB2312"/>
          <w:sz w:val="32"/>
          <w:szCs w:val="32"/>
        </w:rPr>
        <w:t>人，</w:t>
      </w:r>
      <w:r>
        <w:rPr>
          <w:rFonts w:ascii="仿宋_GB2312" w:eastAsia="仿宋_GB2312" w:hAnsi="仿宋_GB2312" w:cs="仿宋_GB2312"/>
          <w:sz w:val="32"/>
          <w:szCs w:val="32"/>
        </w:rPr>
        <w:t>其中，男性</w:t>
      </w:r>
      <w:r>
        <w:rPr>
          <w:rFonts w:ascii="仿宋_GB2312" w:eastAsia="仿宋_GB2312" w:hAnsi="仿宋_GB2312" w:cs="仿宋_GB2312"/>
          <w:sz w:val="32"/>
          <w:szCs w:val="32"/>
        </w:rPr>
        <w:t>303人，女性313人，</w:t>
      </w:r>
      <w:r>
        <w:rPr>
          <w:rFonts w:ascii="仿宋_GB2312" w:eastAsia="仿宋_GB2312" w:hAnsi="仿宋_GB2312" w:cs="仿宋_GB2312"/>
          <w:sz w:val="32"/>
          <w:szCs w:val="32"/>
        </w:rPr>
        <w:t>以实际参加体检人数为准。</w:t>
      </w:r>
    </w:p>
    <w:p>
      <w:pPr>
        <w:pStyle w:val="p"/>
        <w:spacing w:before="0" w:after="0" w:line="360" w:lineRule="auto"/>
        <w:ind w:firstLine="640"/>
        <w:rPr>
          <w:sz w:val="32"/>
          <w:szCs w:val="32"/>
        </w:rPr>
      </w:pPr>
      <w:r>
        <w:rPr>
          <w:rFonts w:ascii="仿宋_GB2312" w:eastAsia="仿宋_GB2312" w:hAnsi="仿宋_GB2312" w:cs="仿宋_GB2312"/>
          <w:sz w:val="32"/>
          <w:szCs w:val="32"/>
        </w:rPr>
        <w:t>（2）体检项目由国家税务总局</w:t>
      </w:r>
      <w:r>
        <w:rPr>
          <w:rFonts w:ascii="仿宋_GB2312" w:eastAsia="仿宋_GB2312" w:hAnsi="仿宋_GB2312" w:cs="仿宋_GB2312"/>
          <w:sz w:val="32"/>
          <w:szCs w:val="32"/>
        </w:rPr>
        <w:t>长春市南关区</w:t>
      </w:r>
      <w:r>
        <w:rPr>
          <w:rFonts w:ascii="仿宋_GB2312" w:eastAsia="仿宋_GB2312" w:hAnsi="仿宋_GB2312" w:cs="仿宋_GB2312"/>
          <w:sz w:val="32"/>
          <w:szCs w:val="32"/>
        </w:rPr>
        <w:t>税务局确定，体检项目包括：血常规、尿常规、</w:t>
      </w:r>
      <w:r>
        <w:rPr>
          <w:rFonts w:ascii="仿宋_GB2312" w:eastAsia="仿宋_GB2312" w:hAnsi="仿宋_GB2312" w:cs="仿宋_GB2312"/>
          <w:sz w:val="32"/>
          <w:szCs w:val="32"/>
        </w:rPr>
        <w:t>便常规、肝功十六项、甲功八项、</w:t>
      </w:r>
      <w:r>
        <w:rPr>
          <w:rFonts w:ascii="仿宋_GB2312" w:eastAsia="仿宋_GB2312" w:hAnsi="仿宋_GB2312" w:cs="仿宋_GB2312"/>
          <w:sz w:val="32"/>
          <w:szCs w:val="32"/>
        </w:rPr>
        <w:t>肾功</w:t>
      </w:r>
      <w:r>
        <w:rPr>
          <w:rFonts w:ascii="仿宋_GB2312" w:eastAsia="仿宋_GB2312" w:hAnsi="仿宋_GB2312" w:cs="仿宋_GB2312"/>
          <w:sz w:val="32"/>
          <w:szCs w:val="32"/>
        </w:rPr>
        <w:t>三项</w:t>
      </w:r>
      <w:r>
        <w:rPr>
          <w:rFonts w:ascii="仿宋_GB2312" w:eastAsia="仿宋_GB2312" w:hAnsi="仿宋_GB2312" w:cs="仿宋_GB2312"/>
          <w:sz w:val="32"/>
          <w:szCs w:val="32"/>
        </w:rPr>
        <w:t>、血糖、血脂</w:t>
      </w:r>
      <w:r>
        <w:rPr>
          <w:rFonts w:ascii="仿宋_GB2312" w:eastAsia="仿宋_GB2312" w:hAnsi="仿宋_GB2312" w:cs="仿宋_GB2312"/>
          <w:sz w:val="32"/>
          <w:szCs w:val="32"/>
        </w:rPr>
        <w:t>七</w:t>
      </w:r>
      <w:r>
        <w:rPr>
          <w:rFonts w:ascii="仿宋_GB2312" w:eastAsia="仿宋_GB2312" w:hAnsi="仿宋_GB2312" w:cs="仿宋_GB2312"/>
          <w:sz w:val="32"/>
          <w:szCs w:val="32"/>
        </w:rPr>
        <w:t>项、</w:t>
      </w:r>
      <w:r>
        <w:rPr>
          <w:rFonts w:ascii="仿宋_GB2312" w:eastAsia="仿宋_GB2312" w:hAnsi="仿宋_GB2312" w:cs="仿宋_GB2312"/>
          <w:sz w:val="32"/>
          <w:szCs w:val="32"/>
        </w:rPr>
        <w:t>丙肝抗体、</w:t>
      </w:r>
      <w:r>
        <w:rPr>
          <w:rFonts w:ascii="仿宋_GB2312" w:eastAsia="仿宋_GB2312" w:hAnsi="仿宋_GB2312" w:cs="仿宋_GB2312"/>
          <w:sz w:val="32"/>
          <w:szCs w:val="32"/>
        </w:rPr>
        <w:t>C13尿素呼气试验</w:t>
      </w:r>
      <w:r>
        <w:rPr>
          <w:rFonts w:ascii="仿宋_GB2312" w:eastAsia="仿宋_GB2312" w:hAnsi="仿宋_GB2312" w:cs="仿宋_GB2312"/>
          <w:sz w:val="32"/>
          <w:szCs w:val="32"/>
        </w:rPr>
        <w:t>、心电图、</w:t>
      </w:r>
      <w:r>
        <w:rPr>
          <w:rFonts w:ascii="仿宋_GB2312" w:eastAsia="仿宋_GB2312" w:hAnsi="仿宋_GB2312" w:cs="仿宋_GB2312"/>
          <w:sz w:val="32"/>
          <w:szCs w:val="32"/>
        </w:rPr>
        <w:t>头部</w:t>
      </w:r>
      <w:r>
        <w:rPr>
          <w:rFonts w:ascii="仿宋_GB2312" w:eastAsia="仿宋_GB2312" w:hAnsi="仿宋_GB2312" w:cs="仿宋_GB2312"/>
          <w:sz w:val="32"/>
          <w:szCs w:val="32"/>
        </w:rPr>
        <w:t>CT、胸部CT</w:t>
      </w:r>
      <w:r>
        <w:rPr>
          <w:rFonts w:ascii="仿宋_GB2312" w:eastAsia="仿宋_GB2312" w:hAnsi="仿宋_GB2312" w:cs="仿宋_GB2312"/>
          <w:sz w:val="32"/>
          <w:szCs w:val="32"/>
        </w:rPr>
        <w:t>、腹部彩超、甲状腺</w:t>
      </w:r>
      <w:r>
        <w:rPr>
          <w:rFonts w:ascii="仿宋_GB2312" w:eastAsia="仿宋_GB2312" w:hAnsi="仿宋_GB2312" w:cs="仿宋_GB2312"/>
          <w:sz w:val="32"/>
          <w:szCs w:val="32"/>
        </w:rPr>
        <w:t>颈部淋巴结</w:t>
      </w:r>
      <w:r>
        <w:rPr>
          <w:rFonts w:ascii="仿宋_GB2312" w:eastAsia="仿宋_GB2312" w:hAnsi="仿宋_GB2312" w:cs="仿宋_GB2312"/>
          <w:sz w:val="32"/>
          <w:szCs w:val="32"/>
        </w:rPr>
        <w:t>彩超、</w:t>
      </w:r>
      <w:r>
        <w:rPr>
          <w:rFonts w:ascii="仿宋_GB2312" w:eastAsia="仿宋_GB2312" w:hAnsi="仿宋_GB2312" w:cs="仿宋_GB2312"/>
          <w:sz w:val="32"/>
          <w:szCs w:val="32"/>
        </w:rPr>
        <w:t>肝胆胰脾肾输尿管膀胱彩超、</w:t>
      </w:r>
      <w:r>
        <w:rPr>
          <w:rFonts w:ascii="仿宋_GB2312" w:eastAsia="仿宋_GB2312" w:hAnsi="仿宋_GB2312" w:cs="仿宋_GB2312"/>
          <w:sz w:val="32"/>
          <w:szCs w:val="32"/>
        </w:rPr>
        <w:t>乳腺彩超（女）</w:t>
      </w:r>
      <w:r>
        <w:rPr>
          <w:rFonts w:ascii="仿宋_GB2312" w:eastAsia="仿宋_GB2312" w:hAnsi="仿宋_GB2312" w:cs="仿宋_GB2312"/>
          <w:sz w:val="32"/>
          <w:szCs w:val="32"/>
        </w:rPr>
        <w:t>、</w:t>
      </w:r>
      <w:r>
        <w:rPr>
          <w:rFonts w:ascii="仿宋_GB2312" w:eastAsia="仿宋_GB2312" w:hAnsi="仿宋_GB2312" w:cs="仿宋_GB2312"/>
          <w:sz w:val="32"/>
          <w:szCs w:val="32"/>
        </w:rPr>
        <w:t>前列腺彩超（男）、</w:t>
      </w:r>
      <w:r>
        <w:rPr>
          <w:rFonts w:ascii="仿宋_GB2312" w:eastAsia="仿宋_GB2312" w:hAnsi="仿宋_GB2312" w:cs="仿宋_GB2312"/>
          <w:sz w:val="32"/>
          <w:szCs w:val="32"/>
        </w:rPr>
        <w:t>骨密度、</w:t>
      </w:r>
      <w:r>
        <w:rPr>
          <w:rFonts w:ascii="仿宋_GB2312" w:eastAsia="仿宋_GB2312" w:hAnsi="仿宋_GB2312" w:cs="仿宋_GB2312"/>
          <w:sz w:val="32"/>
          <w:szCs w:val="32"/>
        </w:rPr>
        <w:t>动脉硬化检测、肝纤维化检测</w:t>
      </w:r>
      <w:r>
        <w:rPr>
          <w:rFonts w:ascii="仿宋_GB2312" w:eastAsia="仿宋_GB2312" w:hAnsi="仿宋_GB2312" w:cs="仿宋_GB2312"/>
          <w:sz w:val="32"/>
          <w:szCs w:val="32"/>
        </w:rPr>
        <w:t>，实际体检项目中应包含但不限于上述项目。</w:t>
      </w:r>
    </w:p>
    <w:p>
      <w:pPr>
        <w:pStyle w:val="p"/>
        <w:spacing w:before="0" w:after="0" w:line="360" w:lineRule="auto"/>
        <w:ind w:firstLine="640"/>
        <w:rPr>
          <w:sz w:val="32"/>
          <w:szCs w:val="32"/>
        </w:rPr>
      </w:pPr>
      <w:r>
        <w:rPr>
          <w:rFonts w:ascii="仿宋_GB2312" w:eastAsia="仿宋_GB2312" w:hAnsi="仿宋_GB2312" w:cs="仿宋_GB2312"/>
          <w:sz w:val="32"/>
          <w:szCs w:val="32"/>
        </w:rPr>
        <w:t>（3）根据广大干部职工对体检服务和后续治疗服务的需求，需要有相关专家的专业医疗资源进行诊断和后续治疗。本项目分两包进行采购，第一包面向三级及三级以上医院，预计体检人数</w:t>
      </w:r>
      <w:r>
        <w:rPr>
          <w:rFonts w:ascii="仿宋_GB2312" w:eastAsia="仿宋_GB2312" w:hAnsi="仿宋_GB2312" w:cs="仿宋_GB2312"/>
          <w:sz w:val="32"/>
          <w:szCs w:val="32"/>
        </w:rPr>
        <w:t>478人，预算金额95.6万元，第二包面向三级以下医院和社会专业体检机构，预计体检人数138人，预算金额27.6万元。本项目一采三年，合同一年一签，第二年、第三年合同金额以实际体检人数为准。</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1.2.2体检人数及标准</w:t>
      </w:r>
      <w:bookmarkEnd w:id="9"/>
    </w:p>
    <w:p>
      <w:pPr>
        <w:pStyle w:val="p"/>
        <w:spacing w:before="0" w:after="0" w:line="360" w:lineRule="auto"/>
        <w:ind w:left="0" w:firstLine="640"/>
        <w:rPr>
          <w:sz w:val="32"/>
          <w:szCs w:val="32"/>
        </w:rPr>
      </w:pPr>
      <w:r>
        <w:rPr>
          <w:rFonts w:ascii="仿宋_GB2312" w:eastAsia="仿宋_GB2312" w:hAnsi="仿宋_GB2312" w:cs="仿宋_GB2312"/>
          <w:sz w:val="32"/>
          <w:szCs w:val="32"/>
        </w:rPr>
        <w:t>为国家税务总局</w:t>
      </w:r>
      <w:r>
        <w:rPr>
          <w:rFonts w:ascii="仿宋_GB2312" w:eastAsia="仿宋_GB2312" w:hAnsi="仿宋_GB2312" w:cs="仿宋_GB2312"/>
          <w:sz w:val="32"/>
          <w:szCs w:val="32"/>
        </w:rPr>
        <w:t>长春市南关区</w:t>
      </w:r>
      <w:r>
        <w:rPr>
          <w:rFonts w:ascii="仿宋_GB2312" w:eastAsia="仿宋_GB2312" w:hAnsi="仿宋_GB2312" w:cs="仿宋_GB2312"/>
          <w:sz w:val="32"/>
          <w:szCs w:val="32"/>
        </w:rPr>
        <w:t>税务局</w:t>
      </w:r>
      <w:r>
        <w:rPr>
          <w:rFonts w:ascii="仿宋_GB2312" w:eastAsia="仿宋_GB2312" w:hAnsi="仿宋_GB2312" w:cs="仿宋_GB2312"/>
          <w:sz w:val="32"/>
          <w:szCs w:val="32"/>
        </w:rPr>
        <w:t>干部职工提供体检服务，标准</w:t>
      </w:r>
      <w:r>
        <w:rPr>
          <w:rFonts w:ascii="仿宋_GB2312" w:eastAsia="仿宋_GB2312" w:hAnsi="仿宋_GB2312" w:cs="仿宋_GB2312"/>
          <w:sz w:val="32"/>
          <w:szCs w:val="32"/>
        </w:rPr>
        <w:t>2000元</w:t>
      </w:r>
      <w:r>
        <w:rPr>
          <w:rFonts w:ascii="仿宋_GB2312" w:eastAsia="仿宋_GB2312" w:hAnsi="仿宋_GB2312" w:cs="仿宋_GB2312"/>
          <w:sz w:val="32"/>
          <w:szCs w:val="32"/>
        </w:rPr>
        <w:t>/</w:t>
      </w:r>
      <w:r>
        <w:rPr>
          <w:rFonts w:ascii="仿宋_GB2312" w:eastAsia="仿宋_GB2312" w:hAnsi="仿宋_GB2312" w:cs="仿宋_GB2312"/>
          <w:sz w:val="32"/>
          <w:szCs w:val="32"/>
        </w:rPr>
        <w:t>人</w:t>
      </w:r>
      <w:r>
        <w:rPr>
          <w:rFonts w:ascii="仿宋_GB2312" w:eastAsia="仿宋_GB2312" w:hAnsi="仿宋_GB2312" w:cs="仿宋_GB2312"/>
          <w:sz w:val="32"/>
          <w:szCs w:val="32"/>
        </w:rPr>
        <w:t>。</w:t>
      </w:r>
      <w:r>
        <w:rPr>
          <w:rFonts w:ascii="仿宋_GB2312" w:eastAsia="仿宋_GB2312" w:hAnsi="仿宋_GB2312" w:cs="仿宋_GB2312"/>
          <w:sz w:val="32"/>
          <w:szCs w:val="32"/>
        </w:rPr>
        <w:t>人数</w:t>
      </w:r>
      <w:r>
        <w:rPr>
          <w:rFonts w:ascii="仿宋_GB2312" w:eastAsia="仿宋_GB2312" w:hAnsi="仿宋_GB2312" w:cs="仿宋_GB2312"/>
          <w:sz w:val="32"/>
          <w:szCs w:val="32"/>
        </w:rPr>
        <w:t>为</w:t>
      </w:r>
      <w:r>
        <w:rPr>
          <w:rFonts w:ascii="仿宋_GB2312" w:eastAsia="仿宋_GB2312" w:hAnsi="仿宋_GB2312" w:cs="仿宋_GB2312"/>
          <w:sz w:val="32"/>
          <w:szCs w:val="32"/>
        </w:rPr>
        <w:t>616</w:t>
      </w:r>
      <w:r>
        <w:rPr>
          <w:rFonts w:ascii="仿宋_GB2312" w:eastAsia="仿宋_GB2312" w:hAnsi="仿宋_GB2312" w:cs="仿宋_GB2312"/>
          <w:sz w:val="32"/>
          <w:szCs w:val="32"/>
        </w:rPr>
        <w:t>人，</w:t>
      </w:r>
      <w:r>
        <w:rPr>
          <w:rFonts w:ascii="仿宋_GB2312" w:eastAsia="仿宋_GB2312" w:hAnsi="仿宋_GB2312" w:cs="仿宋_GB2312"/>
          <w:sz w:val="32"/>
          <w:szCs w:val="32"/>
        </w:rPr>
        <w:t>其中，男性</w:t>
      </w:r>
      <w:r>
        <w:rPr>
          <w:rFonts w:ascii="仿宋_GB2312" w:eastAsia="仿宋_GB2312" w:hAnsi="仿宋_GB2312" w:cs="仿宋_GB2312"/>
          <w:sz w:val="32"/>
          <w:szCs w:val="32"/>
        </w:rPr>
        <w:t>303人，女性313人，</w:t>
      </w:r>
      <w:r>
        <w:rPr>
          <w:rFonts w:ascii="仿宋_GB2312" w:eastAsia="仿宋_GB2312" w:hAnsi="仿宋_GB2312" w:cs="仿宋_GB2312"/>
          <w:sz w:val="32"/>
          <w:szCs w:val="32"/>
        </w:rPr>
        <w:t>以实际参加体检人数为准。</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spacing w:before="0" w:after="0" w:line="360" w:lineRule="auto"/>
        <w:ind w:left="0" w:right="0"/>
        <w:jc w:val="both"/>
      </w:pPr>
      <w:r>
        <w:rPr>
          <w:rFonts w:ascii="仿宋_GB2312" w:eastAsia="仿宋_GB2312" w:hAnsi="仿宋_GB2312" w:cs="仿宋_GB2312"/>
          <w:sz w:val="28"/>
          <w:szCs w:val="28"/>
        </w:rPr>
        <w:t>         国家税务总局</w:t>
      </w:r>
      <w:r>
        <w:rPr>
          <w:rFonts w:ascii="仿宋_GB2312" w:eastAsia="仿宋_GB2312" w:hAnsi="仿宋_GB2312" w:cs="仿宋_GB2312"/>
          <w:sz w:val="28"/>
          <w:szCs w:val="28"/>
        </w:rPr>
        <w:t>长春市南关区</w:t>
      </w:r>
      <w:r>
        <w:rPr>
          <w:rFonts w:ascii="仿宋_GB2312" w:eastAsia="仿宋_GB2312" w:hAnsi="仿宋_GB2312" w:cs="仿宋_GB2312"/>
          <w:sz w:val="28"/>
          <w:szCs w:val="28"/>
        </w:rPr>
        <w:t>税务局在职和退休人员</w:t>
      </w:r>
      <w:r>
        <w:rPr>
          <w:rFonts w:ascii="仿宋_GB2312" w:eastAsia="仿宋_GB2312" w:hAnsi="仿宋_GB2312" w:cs="仿宋_GB2312"/>
          <w:sz w:val="28"/>
          <w:szCs w:val="28"/>
        </w:rPr>
        <w:t>。</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jc w:val="both"/>
      </w:pPr>
      <w:r>
        <w:rPr>
          <w:rFonts w:ascii="仿宋_GB2312" w:eastAsia="仿宋_GB2312" w:hAnsi="仿宋_GB2312" w:cs="仿宋_GB2312"/>
          <w:sz w:val="28"/>
          <w:szCs w:val="28"/>
        </w:rPr>
        <w:t>         服务期限共计</w:t>
      </w:r>
      <w:r>
        <w:rPr>
          <w:rFonts w:ascii="仿宋_GB2312" w:eastAsia="仿宋_GB2312" w:hAnsi="仿宋_GB2312" w:cs="仿宋_GB2312"/>
          <w:sz w:val="28"/>
          <w:szCs w:val="28"/>
        </w:rPr>
        <w:t>三</w:t>
      </w:r>
      <w:r>
        <w:rPr>
          <w:rFonts w:ascii="仿宋_GB2312" w:eastAsia="仿宋_GB2312" w:hAnsi="仿宋_GB2312" w:cs="仿宋_GB2312"/>
          <w:sz w:val="28"/>
          <w:szCs w:val="28"/>
        </w:rPr>
        <w:t>年，合同一年一签，</w:t>
      </w:r>
      <w:r>
        <w:rPr>
          <w:rFonts w:ascii="仿宋_GB2312" w:eastAsia="仿宋_GB2312" w:hAnsi="仿宋_GB2312" w:cs="仿宋_GB2312"/>
          <w:sz w:val="28"/>
          <w:szCs w:val="28"/>
        </w:rPr>
        <w:t>具体以合同签订后双方约定的体检时间为准。</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          合同约定地点。</w:t>
      </w:r>
    </w:p>
    <w:p>
      <w:pPr>
        <w:pStyle w:val="Heading10"/>
        <w:keepNext w:val="0"/>
        <w:spacing w:before="0" w:after="0" w:line="360" w:lineRule="auto"/>
        <w:jc w:val="center"/>
        <w:rPr>
          <w:rFonts w:ascii="仿宋_GB2312" w:eastAsia="仿宋_GB2312" w:hAnsi="仿宋_GB2312" w:cs="仿宋_GB2312"/>
          <w:b/>
          <w:bCs/>
          <w:sz w:val="32"/>
          <w:szCs w:val="32"/>
        </w:rPr>
      </w:pPr>
      <w:bookmarkStart w:id="11" w:name="_Toc256000007"/>
      <w:r>
        <w:rPr>
          <w:rFonts w:ascii="仿宋_GB2312" w:eastAsia="仿宋_GB2312" w:hAnsi="仿宋_GB2312" w:cs="仿宋_GB2312"/>
          <w:kern w:val="36"/>
        </w:rPr>
        <w:t>2投标/响应要求</w:t>
      </w:r>
      <w:bookmarkEnd w:id="11"/>
    </w:p>
    <w:p>
      <w:pPr>
        <w:pStyle w:val="Heading2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i w:val="0"/>
          <w:iCs w:val="0"/>
        </w:rPr>
        <w:t>2.1对供应商的要求</w:t>
      </w:r>
      <w:bookmarkEnd w:id="12"/>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2.1.1必备资质</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color w:val="95A5A6"/>
          <w:sz w:val="32"/>
          <w:szCs w:val="32"/>
        </w:rPr>
        <w:t>        具有有效期内的卫生行政部门核准登记取得的《医疗机构执业许可证》和《放射诊疗许可证》。</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2.1.2是否允许联合体</w:t>
      </w:r>
      <w:bookmarkEnd w:id="1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2.1.3是否专门面向中小企业</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2.1.4其他要求</w:t>
      </w:r>
      <w:bookmarkEnd w:id="16"/>
    </w:p>
    <w:p>
      <w:pPr>
        <w:pStyle w:val="p"/>
        <w:spacing w:before="0" w:after="0" w:line="360" w:lineRule="auto"/>
        <w:ind w:left="0" w:firstLine="640"/>
        <w:rPr>
          <w:sz w:val="32"/>
          <w:szCs w:val="32"/>
        </w:rPr>
      </w:pPr>
      <w:r>
        <w:rPr>
          <w:rFonts w:ascii="仿宋_GB2312" w:eastAsia="仿宋_GB2312" w:hAnsi="仿宋_GB2312" w:cs="仿宋_GB2312"/>
          <w:sz w:val="32"/>
          <w:szCs w:val="32"/>
        </w:rPr>
        <w:t>“信用中国（www.creditchina.gov.cn）”和“中国政府采购网(www.ccgp.gov.cn)”网站查询的投标单位信用记录的查询结果，供应商未列入失信被执行人、重大税收违法案件当事人名单，本项目信用记录查询截止时点为响应文件提交截止时间。</w:t>
      </w:r>
    </w:p>
    <w:p>
      <w:pPr>
        <w:pStyle w:val="Heading2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i w:val="0"/>
          <w:iCs w:val="0"/>
        </w:rPr>
        <w:t>2.2技术部分投标/响应内容</w:t>
      </w:r>
      <w:bookmarkEnd w:id="17"/>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2.2.1投标/响应方案要求</w:t>
      </w:r>
      <w:bookmarkEnd w:id="18"/>
    </w:p>
    <w:p>
      <w:pPr>
        <w:pStyle w:val="p"/>
        <w:spacing w:before="0" w:after="0" w:line="360" w:lineRule="auto"/>
        <w:ind w:left="0" w:firstLine="640"/>
        <w:rPr>
          <w:sz w:val="32"/>
          <w:szCs w:val="32"/>
        </w:rPr>
      </w:pPr>
      <w:r>
        <w:rPr>
          <w:rFonts w:ascii="仿宋_GB2312" w:eastAsia="仿宋_GB2312" w:hAnsi="仿宋_GB2312" w:cs="仿宋_GB2312"/>
          <w:sz w:val="32"/>
          <w:szCs w:val="32"/>
        </w:rPr>
        <w:t>（1）供应商具有确保所有体检人员同一天内完成体检的独立体检区域，体检区域安静有序，划分为独立的男宾、女宾、</w:t>
      </w:r>
      <w:r>
        <w:rPr>
          <w:rFonts w:ascii="仿宋_GB2312" w:eastAsia="仿宋_GB2312" w:hAnsi="仿宋_GB2312" w:cs="仿宋_GB2312"/>
          <w:sz w:val="32"/>
          <w:szCs w:val="32"/>
        </w:rPr>
        <w:t>VIP区域，分区合理明确，体检的主要场所采光明亮，环境整洁，在各功能区有清楚指示，科室衔接紧密、间隔合理，有严密的放射线防护。</w:t>
      </w:r>
    </w:p>
    <w:p>
      <w:pPr>
        <w:pStyle w:val="p"/>
        <w:spacing w:before="0" w:after="0" w:line="360" w:lineRule="auto"/>
        <w:ind w:left="0" w:firstLine="640"/>
        <w:rPr>
          <w:sz w:val="32"/>
          <w:szCs w:val="32"/>
        </w:rPr>
      </w:pPr>
      <w:r>
        <w:rPr>
          <w:rFonts w:ascii="仿宋_GB2312" w:eastAsia="仿宋_GB2312" w:hAnsi="仿宋_GB2312" w:cs="仿宋_GB2312"/>
          <w:sz w:val="32"/>
          <w:szCs w:val="32"/>
        </w:rPr>
        <w:t>（2）供应商需要根据国家税务总局</w:t>
      </w:r>
      <w:r>
        <w:rPr>
          <w:rFonts w:ascii="仿宋_GB2312" w:eastAsia="仿宋_GB2312" w:hAnsi="仿宋_GB2312" w:cs="仿宋_GB2312"/>
          <w:sz w:val="32"/>
          <w:szCs w:val="32"/>
        </w:rPr>
        <w:t>长春市南关区</w:t>
      </w:r>
      <w:r>
        <w:rPr>
          <w:rFonts w:ascii="仿宋_GB2312" w:eastAsia="仿宋_GB2312" w:hAnsi="仿宋_GB2312" w:cs="仿宋_GB2312"/>
          <w:sz w:val="32"/>
          <w:szCs w:val="32"/>
        </w:rPr>
        <w:t>税务局职工不同性别制定体检套餐。</w:t>
      </w:r>
    </w:p>
    <w:p>
      <w:pPr>
        <w:pStyle w:val="p"/>
        <w:spacing w:before="0" w:after="0" w:line="360" w:lineRule="auto"/>
        <w:ind w:left="0" w:firstLine="640"/>
        <w:rPr>
          <w:sz w:val="32"/>
          <w:szCs w:val="32"/>
        </w:rPr>
      </w:pPr>
      <w:r>
        <w:rPr>
          <w:rFonts w:ascii="仿宋_GB2312" w:eastAsia="仿宋_GB2312" w:hAnsi="仿宋_GB2312" w:cs="仿宋_GB2312"/>
          <w:sz w:val="32"/>
          <w:szCs w:val="32"/>
        </w:rPr>
        <w:t>（3）供应商可以提供应急服务，在体检人数多，现场混乱的情况下，体检机构能够有效组织人员疏散，确保体检人员人身安全，体检人员有突发疾病发生的，体检机构能够有效地组织抢救。</w:t>
      </w:r>
    </w:p>
    <w:p>
      <w:pPr>
        <w:pStyle w:val="p"/>
        <w:spacing w:before="0" w:after="0" w:line="360" w:lineRule="auto"/>
        <w:ind w:left="0" w:firstLine="640"/>
        <w:rPr>
          <w:sz w:val="32"/>
          <w:szCs w:val="32"/>
        </w:rPr>
      </w:pPr>
      <w:r>
        <w:rPr>
          <w:rFonts w:ascii="仿宋_GB2312" w:eastAsia="仿宋_GB2312" w:hAnsi="仿宋_GB2312" w:cs="仿宋_GB2312"/>
          <w:sz w:val="32"/>
          <w:szCs w:val="32"/>
        </w:rPr>
        <w:t>（4）本项目第一包供应商应根据体检报告提供精准专业的病情诊断、病因分析、治疗建议及生活建议，并提供后续治疗的绿色通道。如体检者体检报告出现异常需要专家会诊时必须能够提供相关专家进行会诊。本项目第二包供应商应具备检查科室集中、环境整洁、体检设备先进，体检过程流畅、体检服务精细等要求。</w:t>
      </w:r>
    </w:p>
    <w:p>
      <w:pPr>
        <w:pStyle w:val="Heading10"/>
        <w:keepNext w:val="0"/>
        <w:spacing w:before="0" w:after="0" w:line="360" w:lineRule="auto"/>
        <w:jc w:val="center"/>
        <w:rPr>
          <w:rFonts w:ascii="仿宋_GB2312" w:eastAsia="仿宋_GB2312" w:hAnsi="仿宋_GB2312" w:cs="仿宋_GB2312"/>
          <w:b/>
          <w:bCs/>
          <w:sz w:val="32"/>
          <w:szCs w:val="32"/>
        </w:rPr>
      </w:pPr>
      <w:bookmarkStart w:id="19" w:name="_Toc256000015"/>
      <w:r>
        <w:rPr>
          <w:rFonts w:ascii="仿宋_GB2312" w:eastAsia="仿宋_GB2312" w:hAnsi="仿宋_GB2312" w:cs="仿宋_GB2312"/>
          <w:kern w:val="36"/>
        </w:rPr>
        <w:t>3项目需求</w:t>
      </w:r>
      <w:bookmarkEnd w:id="19"/>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3.1总体要求</w:t>
      </w:r>
      <w:bookmarkEnd w:id="20"/>
    </w:p>
    <w:p>
      <w:pPr>
        <w:pStyle w:val="p"/>
        <w:spacing w:before="0" w:after="0" w:line="360" w:lineRule="auto"/>
        <w:ind w:left="0" w:firstLine="640"/>
        <w:rPr>
          <w:sz w:val="32"/>
          <w:szCs w:val="32"/>
        </w:rPr>
      </w:pPr>
      <w:r>
        <w:rPr>
          <w:rFonts w:ascii="仿宋_GB2312" w:eastAsia="仿宋_GB2312" w:hAnsi="仿宋_GB2312" w:cs="仿宋_GB2312"/>
          <w:sz w:val="32"/>
          <w:szCs w:val="32"/>
        </w:rPr>
        <w:t>供应商提供的体检环境、体检服务、体检设备、体检团队等能满足采购人体检要求</w:t>
      </w:r>
      <w:r>
        <w:rPr>
          <w:rFonts w:ascii="仿宋_GB2312" w:eastAsia="仿宋_GB2312" w:hAnsi="仿宋_GB2312" w:cs="仿宋_GB2312"/>
          <w:sz w:val="32"/>
          <w:szCs w:val="32"/>
        </w:rPr>
        <w:t>。</w:t>
      </w:r>
    </w:p>
    <w:p>
      <w:pPr>
        <w:pStyle w:val="Heading2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i w:val="0"/>
          <w:iCs w:val="0"/>
        </w:rPr>
        <w:t>3.2具体要求</w:t>
      </w:r>
      <w:bookmarkEnd w:id="21"/>
    </w:p>
    <w:p>
      <w:pPr>
        <w:pStyle w:val="p"/>
        <w:spacing w:before="0" w:after="0" w:line="360" w:lineRule="auto"/>
        <w:ind w:firstLine="640"/>
        <w:rPr>
          <w:sz w:val="32"/>
          <w:szCs w:val="32"/>
        </w:rPr>
      </w:pPr>
      <w:r>
        <w:rPr>
          <w:rFonts w:ascii="仿宋_GB2312" w:eastAsia="仿宋_GB2312" w:hAnsi="仿宋_GB2312" w:cs="仿宋_GB2312"/>
          <w:sz w:val="32"/>
          <w:szCs w:val="32"/>
        </w:rPr>
        <w:t>（1）供应商应</w:t>
      </w:r>
      <w:r>
        <w:rPr>
          <w:rFonts w:ascii="仿宋_GB2312" w:eastAsia="仿宋_GB2312" w:hAnsi="仿宋_GB2312" w:cs="仿宋_GB2312"/>
          <w:sz w:val="32"/>
          <w:szCs w:val="32"/>
        </w:rPr>
        <w:t>具</w:t>
      </w:r>
      <w:r>
        <w:rPr>
          <w:rFonts w:ascii="仿宋_GB2312" w:eastAsia="仿宋_GB2312" w:hAnsi="仿宋_GB2312" w:cs="仿宋_GB2312"/>
          <w:sz w:val="32"/>
          <w:szCs w:val="32"/>
        </w:rPr>
        <w:t>有符合开展健康体检要求的仪器设备，包括常规性检查设备和</w:t>
      </w:r>
      <w:r>
        <w:rPr>
          <w:rFonts w:ascii="仿宋_GB2312" w:eastAsia="仿宋_GB2312" w:hAnsi="仿宋_GB2312" w:cs="仿宋_GB2312"/>
          <w:sz w:val="32"/>
          <w:szCs w:val="32"/>
        </w:rPr>
        <w:t>DR、CT、彩超、心电、核磁，超声骨密度仪等专业设备，并具备血液、尿液等化验检验能力。</w:t>
      </w:r>
      <w:r>
        <w:rPr>
          <w:rFonts w:ascii="仿宋_GB2312" w:eastAsia="仿宋_GB2312" w:hAnsi="仿宋_GB2312" w:cs="仿宋_GB2312"/>
          <w:sz w:val="32"/>
          <w:szCs w:val="32"/>
        </w:rPr>
        <w:t>由于区局体检人数较多特别是老干部职工人数众多，为满足职工同时段体检需求，故需多台仪器设备。</w:t>
      </w:r>
    </w:p>
    <w:p>
      <w:pPr>
        <w:pStyle w:val="p"/>
        <w:spacing w:before="0" w:after="0" w:line="360" w:lineRule="auto"/>
        <w:ind w:firstLine="640"/>
        <w:rPr>
          <w:sz w:val="32"/>
          <w:szCs w:val="32"/>
        </w:rPr>
      </w:pPr>
      <w:r>
        <w:rPr>
          <w:rFonts w:ascii="仿宋_GB2312" w:eastAsia="仿宋_GB2312" w:hAnsi="仿宋_GB2312" w:cs="仿宋_GB2312"/>
          <w:sz w:val="32"/>
          <w:szCs w:val="32"/>
        </w:rPr>
        <w:t>（2）</w:t>
      </w:r>
      <w:r>
        <w:rPr>
          <w:rFonts w:ascii="仿宋_GB2312" w:eastAsia="仿宋_GB2312" w:hAnsi="仿宋_GB2312" w:cs="仿宋_GB2312"/>
          <w:sz w:val="32"/>
          <w:szCs w:val="32"/>
        </w:rPr>
        <w:t>供应商应当对完成健康体检的受检者出具单独装订的健康体检报告，保护受检者的隐私。健康体检报告应当包括受检者一般信息、体格检查记录、实验室和医学影像检查报告、阳性体征和异常情况的记录、健康状况描述和有关建议等。</w:t>
      </w:r>
    </w:p>
    <w:p>
      <w:pPr>
        <w:pStyle w:val="p"/>
        <w:spacing w:before="0" w:after="0" w:line="360" w:lineRule="auto"/>
        <w:ind w:firstLine="640"/>
        <w:rPr>
          <w:sz w:val="32"/>
          <w:szCs w:val="32"/>
        </w:rPr>
      </w:pPr>
      <w:r>
        <w:rPr>
          <w:rFonts w:ascii="仿宋_GB2312" w:eastAsia="仿宋_GB2312" w:hAnsi="仿宋_GB2312" w:cs="仿宋_GB2312"/>
          <w:sz w:val="32"/>
          <w:szCs w:val="32"/>
        </w:rPr>
        <w:t>（3）</w:t>
      </w:r>
      <w:r>
        <w:rPr>
          <w:rFonts w:ascii="仿宋_GB2312" w:eastAsia="仿宋_GB2312" w:hAnsi="仿宋_GB2312" w:cs="仿宋_GB2312"/>
          <w:sz w:val="32"/>
          <w:szCs w:val="32"/>
        </w:rPr>
        <w:t>供应商应及时发放体检报告，为每个体检者提供检后现场咨询服务，给予个性化的进一步就诊和随诊建议。</w:t>
      </w:r>
    </w:p>
    <w:p>
      <w:pPr>
        <w:pStyle w:val="p"/>
        <w:spacing w:before="0" w:after="0" w:line="360" w:lineRule="auto"/>
        <w:ind w:firstLine="640"/>
        <w:rPr>
          <w:sz w:val="32"/>
          <w:szCs w:val="32"/>
        </w:rPr>
      </w:pPr>
      <w:r>
        <w:rPr>
          <w:rFonts w:ascii="仿宋_GB2312" w:eastAsia="仿宋_GB2312" w:hAnsi="仿宋_GB2312" w:cs="仿宋_GB2312"/>
          <w:sz w:val="32"/>
          <w:szCs w:val="32"/>
        </w:rPr>
        <w:t>本项目第一包供应商应在体检者</w:t>
      </w:r>
      <w:r>
        <w:rPr>
          <w:rFonts w:ascii="仿宋_GB2312" w:eastAsia="仿宋_GB2312" w:hAnsi="仿宋_GB2312" w:cs="仿宋_GB2312"/>
          <w:sz w:val="32"/>
          <w:szCs w:val="32"/>
        </w:rPr>
        <w:t>检后发现的重大或紧急疾病</w:t>
      </w:r>
      <w:r>
        <w:rPr>
          <w:rFonts w:ascii="仿宋_GB2312" w:eastAsia="仿宋_GB2312" w:hAnsi="仿宋_GB2312" w:cs="仿宋_GB2312"/>
          <w:sz w:val="32"/>
          <w:szCs w:val="32"/>
        </w:rPr>
        <w:t>时</w:t>
      </w:r>
      <w:r>
        <w:rPr>
          <w:rFonts w:ascii="仿宋_GB2312" w:eastAsia="仿宋_GB2312" w:hAnsi="仿宋_GB2312" w:cs="仿宋_GB2312"/>
          <w:sz w:val="32"/>
          <w:szCs w:val="32"/>
        </w:rPr>
        <w:t>，应第一时间通知体检者或单位联系人，根据体检者的需求</w:t>
      </w:r>
      <w:r>
        <w:rPr>
          <w:rFonts w:ascii="仿宋_GB2312" w:eastAsia="仿宋_GB2312" w:hAnsi="仿宋_GB2312" w:cs="仿宋_GB2312"/>
          <w:sz w:val="32"/>
          <w:szCs w:val="32"/>
        </w:rPr>
        <w:t>必须</w:t>
      </w:r>
      <w:r>
        <w:rPr>
          <w:rFonts w:ascii="仿宋_GB2312" w:eastAsia="仿宋_GB2312" w:hAnsi="仿宋_GB2312" w:cs="仿宋_GB2312"/>
          <w:sz w:val="32"/>
          <w:szCs w:val="32"/>
        </w:rPr>
        <w:t>提供三级甲等医院的检后就诊及会诊绿色通道。</w:t>
      </w:r>
      <w:r>
        <w:rPr>
          <w:rFonts w:ascii="仿宋_GB2312" w:eastAsia="仿宋_GB2312" w:hAnsi="仿宋_GB2312" w:cs="仿宋_GB2312"/>
          <w:sz w:val="32"/>
          <w:szCs w:val="32"/>
        </w:rPr>
        <w:t>体检者体检报告中出现异常需要专家会诊时，应能够提供相关专家进行会诊。</w:t>
      </w:r>
    </w:p>
    <w:p>
      <w:pPr>
        <w:pStyle w:val="p"/>
        <w:spacing w:before="0" w:after="0" w:line="360" w:lineRule="auto"/>
        <w:ind w:firstLine="640"/>
        <w:rPr>
          <w:sz w:val="32"/>
          <w:szCs w:val="32"/>
        </w:rPr>
      </w:pPr>
      <w:r>
        <w:rPr>
          <w:rFonts w:ascii="仿宋_GB2312" w:eastAsia="仿宋_GB2312" w:hAnsi="仿宋_GB2312" w:cs="仿宋_GB2312"/>
          <w:sz w:val="32"/>
          <w:szCs w:val="32"/>
        </w:rPr>
        <w:t>（4）</w:t>
      </w:r>
      <w:r>
        <w:rPr>
          <w:rFonts w:ascii="仿宋_GB2312" w:eastAsia="仿宋_GB2312" w:hAnsi="仿宋_GB2312" w:cs="仿宋_GB2312"/>
          <w:sz w:val="32"/>
          <w:szCs w:val="32"/>
        </w:rPr>
        <w:t>遇有特殊情况时，如检出急性传染病、急重症疾病、恶性肿瘤等，供应商应立即通知采购人及其相关负责人或本人。</w:t>
      </w:r>
    </w:p>
    <w:p>
      <w:pPr>
        <w:pStyle w:val="p"/>
        <w:spacing w:before="0" w:after="0" w:line="360" w:lineRule="auto"/>
        <w:ind w:firstLine="640"/>
        <w:rPr>
          <w:sz w:val="32"/>
          <w:szCs w:val="32"/>
        </w:rPr>
      </w:pPr>
      <w:r>
        <w:rPr>
          <w:rFonts w:ascii="仿宋_GB2312" w:eastAsia="仿宋_GB2312" w:hAnsi="仿宋_GB2312" w:cs="仿宋_GB2312"/>
          <w:sz w:val="32"/>
          <w:szCs w:val="32"/>
        </w:rPr>
        <w:t>（5）</w:t>
      </w:r>
      <w:r>
        <w:rPr>
          <w:rFonts w:ascii="仿宋_GB2312" w:eastAsia="仿宋_GB2312" w:hAnsi="仿宋_GB2312" w:cs="仿宋_GB2312"/>
          <w:sz w:val="32"/>
          <w:szCs w:val="32"/>
        </w:rPr>
        <w:t>供应商可为参检人员建立健康档案，方便参检人员对健康资料、体检情况等进行动态跟踪。</w:t>
      </w:r>
    </w:p>
    <w:p>
      <w:pPr>
        <w:pStyle w:val="p"/>
        <w:spacing w:before="0" w:after="0" w:line="360" w:lineRule="auto"/>
        <w:ind w:firstLine="640"/>
        <w:rPr>
          <w:sz w:val="32"/>
          <w:szCs w:val="32"/>
        </w:rPr>
      </w:pPr>
      <w:r>
        <w:rPr>
          <w:rFonts w:ascii="仿宋_GB2312" w:eastAsia="仿宋_GB2312" w:hAnsi="仿宋_GB2312" w:cs="仿宋_GB2312"/>
          <w:sz w:val="32"/>
          <w:szCs w:val="32"/>
        </w:rPr>
        <w:t>（6）</w:t>
      </w:r>
      <w:r>
        <w:rPr>
          <w:rFonts w:ascii="仿宋_GB2312" w:eastAsia="仿宋_GB2312" w:hAnsi="仿宋_GB2312" w:cs="仿宋_GB2312"/>
          <w:sz w:val="32"/>
          <w:szCs w:val="32"/>
        </w:rPr>
        <w:t>供应商可以根据采购人需求，在服务期限内安排医生上门进行健康讲座，宣传健康常识。</w:t>
      </w:r>
    </w:p>
    <w:p>
      <w:pPr>
        <w:pStyle w:val="p"/>
        <w:spacing w:before="0" w:after="0" w:line="360" w:lineRule="auto"/>
        <w:ind w:firstLine="640"/>
        <w:rPr>
          <w:sz w:val="32"/>
          <w:szCs w:val="32"/>
        </w:rPr>
      </w:pPr>
      <w:r>
        <w:rPr>
          <w:rFonts w:ascii="仿宋_GB2312" w:eastAsia="仿宋_GB2312" w:hAnsi="仿宋_GB2312" w:cs="仿宋_GB2312"/>
          <w:sz w:val="32"/>
          <w:szCs w:val="32"/>
        </w:rPr>
        <w:t>（7）</w:t>
      </w:r>
      <w:r>
        <w:rPr>
          <w:rFonts w:ascii="仿宋_GB2312" w:eastAsia="仿宋_GB2312" w:hAnsi="仿宋_GB2312" w:cs="仿宋_GB2312"/>
          <w:sz w:val="32"/>
          <w:szCs w:val="32"/>
        </w:rPr>
        <w:t>供应商出具的健康体检报告中，实验室和医学影像检查报告在省内三甲医院就医时可以直接使用。</w:t>
      </w:r>
    </w:p>
    <w:p>
      <w:pPr>
        <w:pStyle w:val="MsoNormal"/>
        <w:spacing w:before="0" w:after="0" w:line="360" w:lineRule="auto"/>
        <w:ind w:left="0" w:right="0"/>
        <w:jc w:val="both"/>
      </w:pPr>
      <w:r>
        <w:rPr>
          <w:rFonts w:ascii="仿宋_GB2312" w:eastAsia="仿宋_GB2312" w:hAnsi="仿宋_GB2312" w:cs="仿宋_GB2312"/>
          <w:sz w:val="32"/>
          <w:szCs w:val="32"/>
        </w:rPr>
        <w:t>        （8）</w:t>
      </w:r>
      <w:r>
        <w:rPr>
          <w:rFonts w:ascii="仿宋_GB2312" w:eastAsia="仿宋_GB2312" w:hAnsi="仿宋_GB2312" w:cs="仿宋_GB2312"/>
          <w:sz w:val="32"/>
          <w:szCs w:val="32"/>
        </w:rPr>
        <w:t>在常规体检的基础上，可以提供无痛胃镜和无痛肠镜检查等特色体检服务项目作为补充，受检者可根据检测结果，提早对疾病进行预防和治疗。</w:t>
      </w:r>
    </w:p>
    <w:p>
      <w:pPr>
        <w:pStyle w:val="MsoNormal"/>
        <w:spacing w:before="0" w:after="0" w:line="360" w:lineRule="auto"/>
        <w:ind w:left="0" w:right="0"/>
        <w:rPr>
          <w:rFonts w:ascii="FangSong_GB2312" w:eastAsia="FangSong_GB2312" w:hAnsi="FangSong_GB2312" w:cs="FangSong_GB2312"/>
        </w:rPr>
      </w:pPr>
      <w:r>
        <w:rPr>
          <w:rFonts w:ascii="FangSong_GB2312" w:eastAsia="FangSong_GB2312" w:hAnsi="FangSong_GB2312" w:cs="FangSong_GB2312"/>
        </w:rPr>
        <w:t>           </w:t>
      </w:r>
      <w:r>
        <w:rPr>
          <w:rFonts w:ascii="FangSong_GB2312" w:eastAsia="FangSong_GB2312" w:hAnsi="FangSong_GB2312" w:cs="FangSong_GB2312"/>
          <w:sz w:val="32"/>
          <w:szCs w:val="32"/>
        </w:rPr>
        <w:t>（9）体检套餐</w:t>
      </w:r>
    </w:p>
    <w:p>
      <w:pPr>
        <w:pStyle w:val="p"/>
        <w:spacing w:before="0" w:after="0" w:line="360" w:lineRule="auto"/>
        <w:ind w:firstLine="3213"/>
        <w:rPr>
          <w:sz w:val="32"/>
          <w:szCs w:val="32"/>
        </w:rPr>
      </w:pPr>
      <w:r>
        <w:rPr>
          <w:rFonts w:ascii="仿宋_GB2312" w:eastAsia="仿宋_GB2312" w:hAnsi="仿宋_GB2312" w:cs="仿宋_GB2312"/>
          <w:b/>
          <w:bCs/>
          <w:sz w:val="32"/>
          <w:szCs w:val="32"/>
        </w:rPr>
        <w:t>体检套餐表（男）</w:t>
      </w:r>
    </w:p>
    <w:tbl>
      <w:tblPr>
        <w:tblStyle w:val="MsoNormalTable"/>
        <w:tblCellSpacing w:w="0" w:type="dxa"/>
        <w:tblInd w:w="1412" w:type="dxa"/>
        <w:tblCellMar>
          <w:top w:w="15" w:type="dxa"/>
          <w:left w:w="15" w:type="dxa"/>
          <w:bottom w:w="15" w:type="dxa"/>
          <w:right w:w="15" w:type="dxa"/>
        </w:tblCellMar>
        <w:tblLook w:val="05E0"/>
      </w:tblPr>
      <w:tblGrid>
        <w:gridCol w:w="7095"/>
      </w:tblGrid>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项目名称</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血常规</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尿常规</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便常规</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血糖</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血脂</w:t>
            </w:r>
            <w:r>
              <w:rPr>
                <w:b w:val="0"/>
                <w:bCs w:val="0"/>
                <w:i w:val="0"/>
                <w:iCs w:val="0"/>
                <w:smallCaps w:val="0"/>
                <w:color w:val="000000"/>
                <w:sz w:val="32"/>
                <w:szCs w:val="32"/>
              </w:rPr>
              <w:t>7</w:t>
            </w:r>
            <w:r>
              <w:rPr>
                <w:rFonts w:ascii="宋体" w:eastAsia="宋体" w:hAnsi="宋体" w:cs="宋体"/>
                <w:b w:val="0"/>
                <w:bCs w:val="0"/>
                <w:i w:val="0"/>
                <w:iCs w:val="0"/>
                <w:smallCaps w:val="0"/>
                <w:color w:val="000000"/>
                <w:sz w:val="32"/>
                <w:szCs w:val="32"/>
              </w:rPr>
              <w:t>项</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肝功</w:t>
            </w:r>
            <w:r>
              <w:rPr>
                <w:b w:val="0"/>
                <w:bCs w:val="0"/>
                <w:i w:val="0"/>
                <w:iCs w:val="0"/>
                <w:smallCaps w:val="0"/>
                <w:color w:val="000000"/>
                <w:sz w:val="32"/>
                <w:szCs w:val="32"/>
              </w:rPr>
              <w:t>16</w:t>
            </w:r>
            <w:r>
              <w:rPr>
                <w:rFonts w:ascii="宋体" w:eastAsia="宋体" w:hAnsi="宋体" w:cs="宋体"/>
                <w:b w:val="0"/>
                <w:bCs w:val="0"/>
                <w:i w:val="0"/>
                <w:iCs w:val="0"/>
                <w:smallCaps w:val="0"/>
                <w:color w:val="000000"/>
                <w:sz w:val="32"/>
                <w:szCs w:val="32"/>
              </w:rPr>
              <w:t>项</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肾功</w:t>
            </w:r>
            <w:r>
              <w:rPr>
                <w:b w:val="0"/>
                <w:bCs w:val="0"/>
                <w:i w:val="0"/>
                <w:iCs w:val="0"/>
                <w:smallCaps w:val="0"/>
                <w:color w:val="000000"/>
                <w:sz w:val="32"/>
                <w:szCs w:val="32"/>
              </w:rPr>
              <w:t>3</w:t>
            </w:r>
            <w:r>
              <w:rPr>
                <w:rFonts w:ascii="宋体" w:eastAsia="宋体" w:hAnsi="宋体" w:cs="宋体"/>
                <w:b w:val="0"/>
                <w:bCs w:val="0"/>
                <w:i w:val="0"/>
                <w:iCs w:val="0"/>
                <w:smallCaps w:val="0"/>
                <w:color w:val="000000"/>
                <w:sz w:val="32"/>
                <w:szCs w:val="32"/>
              </w:rPr>
              <w:t>项</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甲功</w:t>
            </w:r>
            <w:r>
              <w:rPr>
                <w:b w:val="0"/>
                <w:bCs w:val="0"/>
                <w:i w:val="0"/>
                <w:iCs w:val="0"/>
                <w:smallCaps w:val="0"/>
                <w:color w:val="000000"/>
                <w:sz w:val="32"/>
                <w:szCs w:val="32"/>
              </w:rPr>
              <w:t>8</w:t>
            </w:r>
            <w:r>
              <w:rPr>
                <w:rFonts w:ascii="宋体" w:eastAsia="宋体" w:hAnsi="宋体" w:cs="宋体"/>
                <w:b w:val="0"/>
                <w:bCs w:val="0"/>
                <w:i w:val="0"/>
                <w:iCs w:val="0"/>
                <w:smallCaps w:val="0"/>
                <w:color w:val="000000"/>
                <w:sz w:val="32"/>
                <w:szCs w:val="32"/>
              </w:rPr>
              <w:t>项（抗体）</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丙肝抗体</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心脏彩超</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头</w:t>
            </w:r>
            <w:r>
              <w:rPr>
                <w:b w:val="0"/>
                <w:bCs w:val="0"/>
                <w:i w:val="0"/>
                <w:iCs w:val="0"/>
                <w:smallCaps w:val="0"/>
                <w:color w:val="000000"/>
                <w:sz w:val="32"/>
                <w:szCs w:val="32"/>
              </w:rPr>
              <w:t>CT</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胸部</w:t>
            </w:r>
            <w:r>
              <w:rPr>
                <w:b w:val="0"/>
                <w:bCs w:val="0"/>
                <w:i w:val="0"/>
                <w:iCs w:val="0"/>
                <w:smallCaps w:val="0"/>
                <w:color w:val="000000"/>
                <w:sz w:val="32"/>
                <w:szCs w:val="32"/>
              </w:rPr>
              <w:t>CT</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心电图</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甲状腺颈部淋巴结彩超</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肝胆胰脾肾输尿管膀胱前列腺彩超</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骨密度（超声）</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b w:val="0"/>
                <w:bCs w:val="0"/>
                <w:i w:val="0"/>
                <w:iCs w:val="0"/>
                <w:smallCaps w:val="0"/>
                <w:color w:val="000000"/>
                <w:sz w:val="32"/>
                <w:szCs w:val="32"/>
              </w:rPr>
              <w:t>C13</w:t>
            </w:r>
            <w:r>
              <w:rPr>
                <w:rFonts w:ascii="宋体" w:eastAsia="宋体" w:hAnsi="宋体" w:cs="宋体"/>
                <w:b w:val="0"/>
                <w:bCs w:val="0"/>
                <w:i w:val="0"/>
                <w:iCs w:val="0"/>
                <w:smallCaps w:val="0"/>
                <w:color w:val="000000"/>
                <w:sz w:val="32"/>
                <w:szCs w:val="32"/>
              </w:rPr>
              <w:t>尿素呼气试验</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动脉硬化检测</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肝纤维化检测</w:t>
            </w:r>
          </w:p>
        </w:tc>
      </w:tr>
      <w:tr>
        <w:tblPrEx>
          <w:tblCellSpacing w:w="0" w:type="dxa"/>
          <w:tblInd w:w="141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采血费</w:t>
            </w:r>
            <w:r>
              <w:rPr>
                <w:b w:val="0"/>
                <w:bCs w:val="0"/>
                <w:i w:val="0"/>
                <w:iCs w:val="0"/>
                <w:smallCaps w:val="0"/>
                <w:color w:val="000000"/>
                <w:sz w:val="32"/>
                <w:szCs w:val="32"/>
              </w:rPr>
              <w:t>+</w:t>
            </w:r>
            <w:r>
              <w:rPr>
                <w:rFonts w:ascii="宋体" w:eastAsia="宋体" w:hAnsi="宋体" w:cs="宋体"/>
                <w:b w:val="0"/>
                <w:bCs w:val="0"/>
                <w:i w:val="0"/>
                <w:iCs w:val="0"/>
                <w:smallCaps w:val="0"/>
                <w:color w:val="000000"/>
                <w:sz w:val="32"/>
                <w:szCs w:val="32"/>
              </w:rPr>
              <w:t>体检费</w:t>
            </w:r>
            <w:r>
              <w:rPr>
                <w:b w:val="0"/>
                <w:bCs w:val="0"/>
                <w:i w:val="0"/>
                <w:iCs w:val="0"/>
                <w:smallCaps w:val="0"/>
                <w:color w:val="000000"/>
                <w:sz w:val="32"/>
                <w:szCs w:val="32"/>
              </w:rPr>
              <w:t>+</w:t>
            </w:r>
            <w:r>
              <w:rPr>
                <w:rFonts w:ascii="宋体" w:eastAsia="宋体" w:hAnsi="宋体" w:cs="宋体"/>
                <w:b w:val="0"/>
                <w:bCs w:val="0"/>
                <w:i w:val="0"/>
                <w:iCs w:val="0"/>
                <w:smallCaps w:val="0"/>
                <w:color w:val="000000"/>
                <w:sz w:val="32"/>
                <w:szCs w:val="32"/>
              </w:rPr>
              <w:t>图文报告</w:t>
            </w:r>
          </w:p>
        </w:tc>
      </w:tr>
    </w:tbl>
    <w:p>
      <w:pPr>
        <w:pStyle w:val="p"/>
        <w:spacing w:before="0" w:after="0" w:line="360" w:lineRule="auto"/>
        <w:ind w:firstLine="640"/>
        <w:rPr>
          <w:sz w:val="32"/>
          <w:szCs w:val="32"/>
        </w:rPr>
      </w:pPr>
      <w:r>
        <w:rPr>
          <w:rFonts w:ascii="仿宋_GB2312" w:eastAsia="仿宋_GB2312" w:hAnsi="仿宋_GB2312" w:cs="仿宋_GB2312"/>
          <w:sz w:val="32"/>
          <w:szCs w:val="32"/>
        </w:rPr>
        <w:t>                             </w:t>
      </w:r>
      <w:r>
        <w:rPr>
          <w:rFonts w:ascii="仿宋_GB2312" w:eastAsia="仿宋_GB2312" w:hAnsi="仿宋_GB2312" w:cs="仿宋_GB2312"/>
          <w:b/>
          <w:bCs/>
          <w:sz w:val="32"/>
          <w:szCs w:val="32"/>
        </w:rPr>
        <w:t>体检套餐表（女） </w:t>
      </w:r>
    </w:p>
    <w:tbl>
      <w:tblPr>
        <w:tblStyle w:val="MsoNormalTable"/>
        <w:tblCellSpacing w:w="0" w:type="dxa"/>
        <w:tblInd w:w="1382" w:type="dxa"/>
        <w:tblCellMar>
          <w:top w:w="15" w:type="dxa"/>
          <w:left w:w="15" w:type="dxa"/>
          <w:bottom w:w="15" w:type="dxa"/>
          <w:right w:w="15" w:type="dxa"/>
        </w:tblCellMar>
        <w:tblLook w:val="05E0"/>
      </w:tblPr>
      <w:tblGrid>
        <w:gridCol w:w="7095"/>
      </w:tblGrid>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项目名称</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血常规</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尿常规</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便常规</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血糖</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血脂</w:t>
            </w:r>
            <w:r>
              <w:rPr>
                <w:b w:val="0"/>
                <w:bCs w:val="0"/>
                <w:i w:val="0"/>
                <w:iCs w:val="0"/>
                <w:smallCaps w:val="0"/>
                <w:color w:val="000000"/>
                <w:sz w:val="32"/>
                <w:szCs w:val="32"/>
              </w:rPr>
              <w:t>7</w:t>
            </w:r>
            <w:r>
              <w:rPr>
                <w:rFonts w:ascii="宋体" w:eastAsia="宋体" w:hAnsi="宋体" w:cs="宋体"/>
                <w:b w:val="0"/>
                <w:bCs w:val="0"/>
                <w:i w:val="0"/>
                <w:iCs w:val="0"/>
                <w:smallCaps w:val="0"/>
                <w:color w:val="000000"/>
                <w:sz w:val="32"/>
                <w:szCs w:val="32"/>
              </w:rPr>
              <w:t>项</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肝功</w:t>
            </w:r>
            <w:r>
              <w:rPr>
                <w:b w:val="0"/>
                <w:bCs w:val="0"/>
                <w:i w:val="0"/>
                <w:iCs w:val="0"/>
                <w:smallCaps w:val="0"/>
                <w:color w:val="000000"/>
                <w:sz w:val="32"/>
                <w:szCs w:val="32"/>
              </w:rPr>
              <w:t>16</w:t>
            </w:r>
            <w:r>
              <w:rPr>
                <w:rFonts w:ascii="宋体" w:eastAsia="宋体" w:hAnsi="宋体" w:cs="宋体"/>
                <w:b w:val="0"/>
                <w:bCs w:val="0"/>
                <w:i w:val="0"/>
                <w:iCs w:val="0"/>
                <w:smallCaps w:val="0"/>
                <w:color w:val="000000"/>
                <w:sz w:val="32"/>
                <w:szCs w:val="32"/>
              </w:rPr>
              <w:t>项</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肾功</w:t>
            </w:r>
            <w:r>
              <w:rPr>
                <w:b w:val="0"/>
                <w:bCs w:val="0"/>
                <w:i w:val="0"/>
                <w:iCs w:val="0"/>
                <w:smallCaps w:val="0"/>
                <w:color w:val="000000"/>
                <w:sz w:val="32"/>
                <w:szCs w:val="32"/>
              </w:rPr>
              <w:t>3</w:t>
            </w:r>
            <w:r>
              <w:rPr>
                <w:rFonts w:ascii="宋体" w:eastAsia="宋体" w:hAnsi="宋体" w:cs="宋体"/>
                <w:b w:val="0"/>
                <w:bCs w:val="0"/>
                <w:i w:val="0"/>
                <w:iCs w:val="0"/>
                <w:smallCaps w:val="0"/>
                <w:color w:val="000000"/>
                <w:sz w:val="32"/>
                <w:szCs w:val="32"/>
              </w:rPr>
              <w:t>项</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丙肝抗体</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甲功</w:t>
            </w:r>
            <w:r>
              <w:rPr>
                <w:b w:val="0"/>
                <w:bCs w:val="0"/>
                <w:i w:val="0"/>
                <w:iCs w:val="0"/>
                <w:smallCaps w:val="0"/>
                <w:color w:val="000000"/>
                <w:sz w:val="32"/>
                <w:szCs w:val="32"/>
              </w:rPr>
              <w:t>8</w:t>
            </w:r>
            <w:r>
              <w:rPr>
                <w:rFonts w:ascii="宋体" w:eastAsia="宋体" w:hAnsi="宋体" w:cs="宋体"/>
                <w:b w:val="0"/>
                <w:bCs w:val="0"/>
                <w:i w:val="0"/>
                <w:iCs w:val="0"/>
                <w:smallCaps w:val="0"/>
                <w:color w:val="000000"/>
                <w:sz w:val="32"/>
                <w:szCs w:val="32"/>
              </w:rPr>
              <w:t>项（抗体）</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头</w:t>
            </w:r>
            <w:r>
              <w:rPr>
                <w:b w:val="0"/>
                <w:bCs w:val="0"/>
                <w:i w:val="0"/>
                <w:iCs w:val="0"/>
                <w:smallCaps w:val="0"/>
                <w:color w:val="000000"/>
                <w:sz w:val="32"/>
                <w:szCs w:val="32"/>
              </w:rPr>
              <w:t>CT</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胸部</w:t>
            </w:r>
            <w:r>
              <w:rPr>
                <w:b w:val="0"/>
                <w:bCs w:val="0"/>
                <w:i w:val="0"/>
                <w:iCs w:val="0"/>
                <w:smallCaps w:val="0"/>
                <w:color w:val="000000"/>
                <w:sz w:val="32"/>
                <w:szCs w:val="32"/>
              </w:rPr>
              <w:t>CT</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心电图</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甲状腺颈部淋巴结彩超</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乳腺彩超</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心脏彩超</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肝胆胰脾肾输尿管膀胱彩超</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妇科腹部彩超</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骨密度（超声）</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b w:val="0"/>
                <w:bCs w:val="0"/>
                <w:i w:val="0"/>
                <w:iCs w:val="0"/>
                <w:smallCaps w:val="0"/>
                <w:color w:val="000000"/>
                <w:sz w:val="32"/>
                <w:szCs w:val="32"/>
              </w:rPr>
              <w:t>C13</w:t>
            </w:r>
            <w:r>
              <w:rPr>
                <w:rFonts w:ascii="宋体" w:eastAsia="宋体" w:hAnsi="宋体" w:cs="宋体"/>
                <w:b w:val="0"/>
                <w:bCs w:val="0"/>
                <w:i w:val="0"/>
                <w:iCs w:val="0"/>
                <w:smallCaps w:val="0"/>
                <w:color w:val="000000"/>
                <w:sz w:val="32"/>
                <w:szCs w:val="32"/>
              </w:rPr>
              <w:t>尿素呼气试验</w:t>
            </w:r>
          </w:p>
        </w:tc>
      </w:tr>
      <w:tr>
        <w:tblPrEx>
          <w:tblCellSpacing w:w="0" w:type="dxa"/>
          <w:tblInd w:w="1382" w:type="dxa"/>
          <w:tblCellMar>
            <w:top w:w="15" w:type="dxa"/>
            <w:left w:w="15" w:type="dxa"/>
            <w:bottom w:w="15" w:type="dxa"/>
            <w:right w:w="15" w:type="dxa"/>
          </w:tblCellMar>
          <w:tblLook w:val="05E0"/>
        </w:tblPrEx>
        <w:trPr>
          <w:trHeight w:val="340"/>
          <w:tblCellSpacing w:w="0" w:type="dxa"/>
        </w:trPr>
        <w:tc>
          <w:tcPr>
            <w:tcW w:w="6809"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p"/>
              <w:spacing w:before="100" w:after="100"/>
              <w:ind w:firstLine="0"/>
              <w:jc w:val="center"/>
              <w:rPr>
                <w:b w:val="0"/>
                <w:bCs w:val="0"/>
                <w:i w:val="0"/>
                <w:iCs w:val="0"/>
                <w:smallCaps w:val="0"/>
                <w:color w:val="000000"/>
                <w:sz w:val="32"/>
                <w:szCs w:val="32"/>
              </w:rPr>
            </w:pPr>
            <w:r>
              <w:rPr>
                <w:rFonts w:ascii="宋体" w:eastAsia="宋体" w:hAnsi="宋体" w:cs="宋体"/>
                <w:b w:val="0"/>
                <w:bCs w:val="0"/>
                <w:i w:val="0"/>
                <w:iCs w:val="0"/>
                <w:smallCaps w:val="0"/>
                <w:color w:val="000000"/>
                <w:sz w:val="32"/>
                <w:szCs w:val="32"/>
              </w:rPr>
              <w:t>采血费</w:t>
            </w:r>
            <w:r>
              <w:rPr>
                <w:b w:val="0"/>
                <w:bCs w:val="0"/>
                <w:i w:val="0"/>
                <w:iCs w:val="0"/>
                <w:smallCaps w:val="0"/>
                <w:color w:val="000000"/>
                <w:sz w:val="32"/>
                <w:szCs w:val="32"/>
              </w:rPr>
              <w:t>+</w:t>
            </w:r>
            <w:r>
              <w:rPr>
                <w:rFonts w:ascii="宋体" w:eastAsia="宋体" w:hAnsi="宋体" w:cs="宋体"/>
                <w:b w:val="0"/>
                <w:bCs w:val="0"/>
                <w:i w:val="0"/>
                <w:iCs w:val="0"/>
                <w:smallCaps w:val="0"/>
                <w:color w:val="000000"/>
                <w:sz w:val="32"/>
                <w:szCs w:val="32"/>
              </w:rPr>
              <w:t>体检费</w:t>
            </w:r>
            <w:r>
              <w:rPr>
                <w:b w:val="0"/>
                <w:bCs w:val="0"/>
                <w:i w:val="0"/>
                <w:iCs w:val="0"/>
                <w:smallCaps w:val="0"/>
                <w:color w:val="000000"/>
                <w:sz w:val="32"/>
                <w:szCs w:val="32"/>
              </w:rPr>
              <w:t>+</w:t>
            </w:r>
            <w:r>
              <w:rPr>
                <w:rFonts w:ascii="宋体" w:eastAsia="宋体" w:hAnsi="宋体" w:cs="宋体"/>
                <w:b w:val="0"/>
                <w:bCs w:val="0"/>
                <w:i w:val="0"/>
                <w:iCs w:val="0"/>
                <w:smallCaps w:val="0"/>
                <w:color w:val="000000"/>
                <w:sz w:val="32"/>
                <w:szCs w:val="32"/>
              </w:rPr>
              <w:t>图文报告</w:t>
            </w:r>
          </w:p>
        </w:tc>
      </w:tr>
    </w:tbl>
    <w:p>
      <w:pPr>
        <w:pStyle w:val="p"/>
        <w:spacing w:before="0" w:after="0" w:line="360" w:lineRule="auto"/>
        <w:ind w:firstLine="643"/>
        <w:jc w:val="center"/>
        <w:rPr>
          <w:sz w:val="32"/>
          <w:szCs w:val="32"/>
        </w:rPr>
      </w:pPr>
      <w:r>
        <w:rPr>
          <w:rFonts w:ascii="仿宋_GB2312" w:eastAsia="仿宋_GB2312" w:hAnsi="仿宋_GB2312" w:cs="仿宋_GB2312"/>
          <w:b/>
          <w:bCs/>
          <w:sz w:val="32"/>
          <w:szCs w:val="32"/>
        </w:rPr>
        <w:t> </w:t>
      </w:r>
    </w:p>
    <w:p>
      <w:pPr>
        <w:pStyle w:val="p"/>
        <w:spacing w:before="0" w:after="0" w:line="360" w:lineRule="auto"/>
        <w:ind w:left="0" w:firstLine="640"/>
        <w:rPr>
          <w:sz w:val="32"/>
          <w:szCs w:val="32"/>
        </w:rPr>
      </w:pPr>
      <w:r>
        <w:rPr>
          <w:rFonts w:ascii="仿宋_GB2312" w:eastAsia="仿宋_GB2312" w:hAnsi="仿宋_GB2312" w:cs="仿宋_GB2312"/>
          <w:sz w:val="32"/>
          <w:szCs w:val="32"/>
        </w:rPr>
        <w:t>以上</w:t>
      </w:r>
      <w:r>
        <w:rPr>
          <w:rFonts w:ascii="仿宋_GB2312" w:eastAsia="仿宋_GB2312" w:hAnsi="仿宋_GB2312" w:cs="仿宋_GB2312"/>
          <w:sz w:val="32"/>
          <w:szCs w:val="32"/>
        </w:rPr>
        <w:t>均为</w:t>
      </w:r>
      <w:r>
        <w:rPr>
          <w:rFonts w:ascii="仿宋_GB2312" w:eastAsia="仿宋_GB2312" w:hAnsi="仿宋_GB2312" w:cs="仿宋_GB2312"/>
          <w:sz w:val="32"/>
          <w:szCs w:val="32"/>
        </w:rPr>
        <w:t>2000元体检套餐</w:t>
      </w:r>
      <w:r>
        <w:rPr>
          <w:rFonts w:ascii="仿宋_GB2312" w:eastAsia="仿宋_GB2312" w:hAnsi="仿宋_GB2312" w:cs="仿宋_GB2312"/>
          <w:sz w:val="32"/>
          <w:szCs w:val="32"/>
        </w:rPr>
        <w:t>项目仅为参考，实际体检项目</w:t>
      </w:r>
      <w:r>
        <w:rPr>
          <w:rFonts w:ascii="仿宋_GB2312" w:eastAsia="仿宋_GB2312" w:hAnsi="仿宋_GB2312" w:cs="仿宋_GB2312"/>
          <w:sz w:val="32"/>
          <w:szCs w:val="32"/>
        </w:rPr>
        <w:t>不仅限于上述项目</w:t>
      </w:r>
      <w:r>
        <w:rPr>
          <w:rFonts w:ascii="仿宋_GB2312" w:eastAsia="仿宋_GB2312" w:hAnsi="仿宋_GB2312" w:cs="仿宋_GB2312"/>
          <w:sz w:val="32"/>
          <w:szCs w:val="32"/>
        </w:rPr>
        <w:t>。</w:t>
      </w:r>
    </w:p>
    <w:p>
      <w:pPr>
        <w:pStyle w:val="Heading10"/>
        <w:keepNext w:val="0"/>
        <w:spacing w:before="0" w:after="0" w:line="360" w:lineRule="auto"/>
        <w:jc w:val="center"/>
        <w:rPr>
          <w:rFonts w:ascii="仿宋_GB2312" w:eastAsia="仿宋_GB2312" w:hAnsi="仿宋_GB2312" w:cs="仿宋_GB2312"/>
          <w:b/>
          <w:bCs/>
          <w:sz w:val="32"/>
          <w:szCs w:val="32"/>
        </w:rPr>
      </w:pPr>
      <w:bookmarkStart w:id="22" w:name="_Toc256000018"/>
      <w:r>
        <w:rPr>
          <w:rFonts w:ascii="仿宋_GB2312" w:eastAsia="仿宋_GB2312" w:hAnsi="仿宋_GB2312" w:cs="仿宋_GB2312"/>
          <w:kern w:val="36"/>
        </w:rPr>
        <w:t>4人员要求</w:t>
      </w:r>
      <w:bookmarkEnd w:id="22"/>
    </w:p>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4.1团队要求</w:t>
      </w:r>
      <w:bookmarkEnd w:id="23"/>
    </w:p>
    <w:p>
      <w:pPr>
        <w:pStyle w:val="Heading3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sz w:val="28"/>
          <w:szCs w:val="28"/>
        </w:rPr>
        <w:t>4.1.1基本要求</w:t>
      </w:r>
      <w:bookmarkEnd w:id="24"/>
    </w:p>
    <w:p>
      <w:pPr>
        <w:pStyle w:val="p"/>
        <w:spacing w:before="0" w:after="0" w:line="360" w:lineRule="auto"/>
        <w:ind w:firstLine="640"/>
        <w:rPr>
          <w:sz w:val="32"/>
          <w:szCs w:val="32"/>
        </w:rPr>
      </w:pPr>
      <w:r>
        <w:rPr>
          <w:rFonts w:ascii="仿宋_GB2312" w:eastAsia="仿宋_GB2312" w:hAnsi="仿宋_GB2312" w:cs="仿宋_GB2312"/>
          <w:sz w:val="32"/>
          <w:szCs w:val="32"/>
        </w:rPr>
        <w:t>（1）供应商提供的体检环境、体检服务、体检设备、体检团队等能满足采购人体检要求，其中体检团队应具有一定数量且有相关体检工作经验的</w:t>
      </w:r>
      <w:r>
        <w:rPr>
          <w:rFonts w:ascii="仿宋_GB2312" w:eastAsia="仿宋_GB2312" w:hAnsi="仿宋_GB2312" w:cs="仿宋_GB2312"/>
          <w:sz w:val="32"/>
          <w:szCs w:val="32"/>
        </w:rPr>
        <w:t>人员</w:t>
      </w:r>
      <w:r>
        <w:rPr>
          <w:rFonts w:ascii="仿宋_GB2312" w:eastAsia="仿宋_GB2312" w:hAnsi="仿宋_GB2312" w:cs="仿宋_GB2312"/>
          <w:sz w:val="32"/>
          <w:szCs w:val="32"/>
        </w:rPr>
        <w:t>。</w:t>
      </w:r>
    </w:p>
    <w:p>
      <w:pPr>
        <w:pStyle w:val="p"/>
        <w:spacing w:before="0" w:after="0" w:line="360" w:lineRule="auto"/>
        <w:ind w:firstLine="640"/>
        <w:rPr>
          <w:sz w:val="32"/>
          <w:szCs w:val="32"/>
        </w:rPr>
      </w:pPr>
      <w:r>
        <w:rPr>
          <w:rFonts w:ascii="仿宋_GB2312" w:eastAsia="仿宋_GB2312" w:hAnsi="仿宋_GB2312" w:cs="仿宋_GB2312"/>
          <w:sz w:val="32"/>
          <w:szCs w:val="32"/>
        </w:rPr>
        <w:t>（2）第一包</w:t>
      </w:r>
      <w:r>
        <w:rPr>
          <w:rFonts w:ascii="仿宋_GB2312" w:eastAsia="仿宋_GB2312" w:hAnsi="仿宋_GB2312" w:cs="仿宋_GB2312"/>
          <w:sz w:val="32"/>
          <w:szCs w:val="32"/>
        </w:rPr>
        <w:t>供应商应包括检验科、放射线科、内镜科、超声医学科、呼吸系统相关专科、血液相关专科、妇科、神经相关专科、骨科、眼科、心血管相关专科、耳鼻喉科、肝胆胰相关专科、内分泌科、泌尿相关专科、胃肠相关专科等临床检查科室</w:t>
      </w:r>
      <w:r>
        <w:rPr>
          <w:rFonts w:ascii="仿宋_GB2312" w:eastAsia="仿宋_GB2312" w:hAnsi="仿宋_GB2312" w:cs="仿宋_GB2312"/>
          <w:sz w:val="32"/>
          <w:szCs w:val="32"/>
        </w:rPr>
        <w:t>并配备相关人员；第二包供应商</w:t>
      </w:r>
      <w:r>
        <w:rPr>
          <w:rFonts w:ascii="仿宋_GB2312" w:eastAsia="仿宋_GB2312" w:hAnsi="仿宋_GB2312" w:cs="仿宋_GB2312"/>
          <w:sz w:val="32"/>
          <w:szCs w:val="32"/>
        </w:rPr>
        <w:t>应包括</w:t>
      </w:r>
      <w:r>
        <w:rPr>
          <w:rFonts w:ascii="仿宋_GB2312" w:eastAsia="仿宋_GB2312" w:hAnsi="仿宋_GB2312" w:cs="仿宋_GB2312"/>
          <w:sz w:val="32"/>
          <w:szCs w:val="32"/>
        </w:rPr>
        <w:t>内科、外科、放射线科、妇科、医学影像科、医学检验科等科室并配备相关人员。</w:t>
      </w:r>
    </w:p>
    <w:p>
      <w:pPr>
        <w:pStyle w:val="p"/>
        <w:spacing w:before="0" w:after="0" w:line="360" w:lineRule="auto"/>
        <w:ind w:firstLine="640"/>
        <w:rPr>
          <w:sz w:val="32"/>
          <w:szCs w:val="32"/>
        </w:rPr>
      </w:pPr>
      <w:r>
        <w:rPr>
          <w:rFonts w:ascii="仿宋_GB2312" w:eastAsia="仿宋_GB2312" w:hAnsi="仿宋_GB2312" w:cs="仿宋_GB2312"/>
          <w:sz w:val="32"/>
          <w:szCs w:val="32"/>
        </w:rPr>
        <w:t>（3）供应商应当指定医师审核签署健康体检报告。负责签署健康体检报告的医师应当具有内科或外科副主任医师以上专业技术职务任职资格。</w:t>
      </w:r>
    </w:p>
    <w:p>
      <w:pPr>
        <w:pStyle w:val="Heading10"/>
        <w:keepNext w:val="0"/>
        <w:spacing w:before="0" w:after="0" w:line="360" w:lineRule="auto"/>
        <w:jc w:val="center"/>
        <w:rPr>
          <w:rFonts w:ascii="仿宋_GB2312" w:eastAsia="仿宋_GB2312" w:hAnsi="仿宋_GB2312" w:cs="仿宋_GB2312"/>
          <w:b/>
          <w:bCs/>
          <w:sz w:val="32"/>
          <w:szCs w:val="32"/>
        </w:rPr>
      </w:pPr>
      <w:bookmarkStart w:id="25" w:name="_Toc256000021"/>
      <w:r>
        <w:rPr>
          <w:rFonts w:ascii="仿宋_GB2312" w:eastAsia="仿宋_GB2312" w:hAnsi="仿宋_GB2312" w:cs="仿宋_GB2312"/>
          <w:kern w:val="36"/>
        </w:rPr>
        <w:t>5管理实施要求</w:t>
      </w:r>
      <w:bookmarkEnd w:id="25"/>
    </w:p>
    <w:p>
      <w:pPr>
        <w:pStyle w:val="p"/>
        <w:spacing w:before="0" w:after="0" w:line="360" w:lineRule="auto"/>
        <w:ind w:firstLine="640"/>
        <w:rPr>
          <w:sz w:val="32"/>
          <w:szCs w:val="32"/>
        </w:rPr>
      </w:pPr>
      <w:r>
        <w:rPr>
          <w:rFonts w:ascii="仿宋_GB2312" w:eastAsia="仿宋_GB2312" w:hAnsi="仿宋_GB2312" w:cs="仿宋_GB2312"/>
          <w:sz w:val="32"/>
          <w:szCs w:val="32"/>
        </w:rPr>
        <w:t>供应商应提供服务方案及服务管理制度，其中包括体检流程、人员管理、体检服务制度等方案。</w:t>
      </w:r>
    </w:p>
    <w:p>
      <w:pPr>
        <w:pStyle w:val="Heading10"/>
        <w:keepNext w:val="0"/>
        <w:spacing w:before="0" w:after="0" w:line="360" w:lineRule="auto"/>
        <w:jc w:val="center"/>
        <w:rPr>
          <w:rFonts w:ascii="仿宋_GB2312" w:eastAsia="仿宋_GB2312" w:hAnsi="仿宋_GB2312" w:cs="仿宋_GB2312"/>
          <w:b/>
          <w:bCs/>
          <w:sz w:val="32"/>
          <w:szCs w:val="32"/>
        </w:rPr>
      </w:pPr>
      <w:bookmarkStart w:id="26" w:name="_Toc256000022"/>
      <w:r>
        <w:rPr>
          <w:rFonts w:ascii="仿宋_GB2312" w:eastAsia="仿宋_GB2312" w:hAnsi="仿宋_GB2312" w:cs="仿宋_GB2312"/>
          <w:kern w:val="36"/>
        </w:rPr>
        <w:t>6风险管控要求</w:t>
      </w:r>
      <w:bookmarkEnd w:id="26"/>
    </w:p>
    <w:p>
      <w:pPr>
        <w:pStyle w:val="p"/>
        <w:spacing w:before="0" w:after="0" w:line="360" w:lineRule="auto"/>
        <w:ind w:firstLine="640"/>
        <w:rPr>
          <w:sz w:val="32"/>
          <w:szCs w:val="32"/>
        </w:rPr>
      </w:pPr>
      <w:r>
        <w:rPr>
          <w:rFonts w:ascii="仿宋_GB2312" w:eastAsia="仿宋_GB2312" w:hAnsi="仿宋_GB2312" w:cs="仿宋_GB2312"/>
          <w:sz w:val="32"/>
          <w:szCs w:val="32"/>
        </w:rPr>
        <w:t>供应商应充分预估项目实施中存在的安全、应急等风险，例如体检现场突发应急情况的解决方案及疫情防护措施等，并详细阐述具体的风险管控方案。</w:t>
      </w:r>
    </w:p>
    <w:p>
      <w:pPr>
        <w:pStyle w:val="Heading10"/>
        <w:keepNext w:val="0"/>
        <w:spacing w:before="0" w:after="0" w:line="360" w:lineRule="auto"/>
        <w:jc w:val="center"/>
        <w:rPr>
          <w:rFonts w:ascii="仿宋_GB2312" w:eastAsia="仿宋_GB2312" w:hAnsi="仿宋_GB2312" w:cs="仿宋_GB2312"/>
          <w:b/>
          <w:bCs/>
          <w:sz w:val="32"/>
          <w:szCs w:val="32"/>
        </w:rPr>
      </w:pPr>
      <w:bookmarkStart w:id="27" w:name="_Toc256000023"/>
      <w:r>
        <w:rPr>
          <w:rFonts w:ascii="仿宋_GB2312" w:eastAsia="仿宋_GB2312" w:hAnsi="仿宋_GB2312" w:cs="仿宋_GB2312"/>
          <w:kern w:val="36"/>
        </w:rPr>
        <w:t>7履约验收要求</w:t>
      </w:r>
      <w:bookmarkEnd w:id="27"/>
    </w:p>
    <w:p>
      <w:pPr>
        <w:pStyle w:val="Heading2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i w:val="0"/>
          <w:iCs w:val="0"/>
        </w:rPr>
        <w:t>7.1总体要求</w:t>
      </w:r>
      <w:bookmarkEnd w:id="28"/>
    </w:p>
    <w:tbl>
      <w:tblPr>
        <w:tblStyle w:val="TableNormal"/>
        <w:tblW w:w="5000" w:type="pct"/>
        <w:tblInd w:w="30" w:type="dxa"/>
        <w:tblCellMar>
          <w:top w:w="15" w:type="dxa"/>
          <w:left w:w="15" w:type="dxa"/>
          <w:bottom w:w="15" w:type="dxa"/>
          <w:right w:w="15" w:type="dxa"/>
        </w:tblCellMar>
      </w:tblPr>
      <w:tblGrid>
        <w:gridCol w:w="1035"/>
        <w:gridCol w:w="803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中标人在合同规定的服务期限内完成所有人员的体检服务，服务期限内所有人员收到体检报告，且对报告中的检查结果不存在异议，视为验收合格。</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29" w:name="_Toc256000025"/>
      <w:r>
        <w:rPr>
          <w:rFonts w:ascii="仿宋_GB2312" w:eastAsia="仿宋_GB2312" w:hAnsi="仿宋_GB2312" w:cs="仿宋_GB2312"/>
          <w:kern w:val="36"/>
        </w:rPr>
        <w:t>8其他要求</w:t>
      </w:r>
      <w:bookmarkEnd w:id="29"/>
    </w:p>
    <w:p>
      <w:pPr>
        <w:pStyle w:val="Heading2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i w:val="0"/>
          <w:iCs w:val="0"/>
        </w:rPr>
        <w:t>8.1付款安排建议</w:t>
      </w:r>
      <w:bookmarkEnd w:id="30"/>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验收合格后按合同要求付款。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i w:val="0"/>
          <w:iCs w:val="0"/>
        </w:rPr>
        <w:t>8.2其他要求</w:t>
      </w:r>
      <w:bookmarkEnd w:id="31"/>
    </w:p>
    <w:p>
      <w:pPr>
        <w:pStyle w:val="Heading3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sz w:val="28"/>
          <w:szCs w:val="28"/>
        </w:rPr>
        <w:t>8.2.1其他要求</w:t>
      </w:r>
      <w:bookmarkEnd w:id="32"/>
    </w:p>
    <w:p>
      <w:pPr>
        <w:pStyle w:val="p"/>
        <w:spacing w:before="0" w:after="0" w:line="360" w:lineRule="auto"/>
        <w:ind w:firstLine="640"/>
        <w:rPr>
          <w:sz w:val="32"/>
          <w:szCs w:val="32"/>
        </w:rPr>
      </w:pPr>
      <w:r>
        <w:rPr>
          <w:rFonts w:ascii="仿宋_GB2312" w:eastAsia="仿宋_GB2312" w:hAnsi="仿宋_GB2312" w:cs="仿宋_GB2312"/>
          <w:sz w:val="32"/>
          <w:szCs w:val="32"/>
        </w:rPr>
        <w:t>（1）</w:t>
      </w:r>
      <w:r>
        <w:rPr>
          <w:rFonts w:ascii="仿宋_GB2312" w:eastAsia="仿宋_GB2312" w:hAnsi="仿宋_GB2312" w:cs="仿宋_GB2312"/>
          <w:sz w:val="32"/>
          <w:szCs w:val="32"/>
        </w:rPr>
        <w:t>合同签订后</w:t>
      </w:r>
      <w:r>
        <w:rPr>
          <w:rFonts w:ascii="仿宋_GB2312" w:eastAsia="仿宋_GB2312" w:hAnsi="仿宋_GB2312" w:cs="仿宋_GB2312"/>
          <w:sz w:val="32"/>
          <w:szCs w:val="32"/>
        </w:rPr>
        <w:t>30个工作日内，中标人提出付款申请并出具等额合同发票，采购人一次性支付合同金额。</w:t>
      </w:r>
    </w:p>
    <w:p>
      <w:pPr>
        <w:pStyle w:val="p"/>
        <w:spacing w:before="0" w:after="0" w:line="360" w:lineRule="auto"/>
        <w:ind w:firstLine="640"/>
        <w:rPr>
          <w:sz w:val="32"/>
          <w:szCs w:val="32"/>
        </w:rPr>
      </w:pPr>
      <w:r>
        <w:rPr>
          <w:rFonts w:ascii="仿宋_GB2312" w:eastAsia="仿宋_GB2312" w:hAnsi="仿宋_GB2312" w:cs="仿宋_GB2312"/>
          <w:sz w:val="32"/>
          <w:szCs w:val="32"/>
        </w:rPr>
        <w:t>（2）</w:t>
      </w:r>
      <w:r>
        <w:rPr>
          <w:rFonts w:ascii="仿宋_GB2312" w:eastAsia="仿宋_GB2312" w:hAnsi="仿宋_GB2312" w:cs="仿宋_GB2312"/>
          <w:sz w:val="32"/>
          <w:szCs w:val="32"/>
        </w:rPr>
        <w:t>中标人未按服务项目要求完成或者完成不彻底，须按要求重新安排体检，且采购人有权按照成交金额要求赔偿。</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9</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p">
    <w:name w:val="p"/>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table" w:customStyle="1" w:styleId="MsoNormalTable">
    <w:name w:val="MsoNormal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