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88" w:beforeAutospacing="0" w:after="0" w:afterAutospacing="0"/>
        <w:ind w:left="0" w:right="0" w:firstLine="0"/>
        <w:jc w:val="left"/>
        <w:rPr>
          <w:rFonts w:ascii="PingFang SC-Bold" w:hAnsi="PingFang SC-Bold" w:eastAsia="PingFang SC-Bold" w:cs="PingFang SC-Bold"/>
          <w:i w:val="0"/>
          <w:caps w:val="0"/>
          <w:color w:val="4285F4"/>
          <w:spacing w:val="0"/>
          <w:sz w:val="24"/>
          <w:szCs w:val="24"/>
          <w:shd w:val="clear" w:fill="FFFFFF"/>
        </w:rPr>
      </w:pPr>
      <w:r>
        <w:rPr>
          <w:rFonts w:ascii="PingFang SC-Bold" w:hAnsi="PingFang SC-Bold" w:eastAsia="PingFang SC-Bold" w:cs="PingFang SC-Bold"/>
          <w:i w:val="0"/>
          <w:caps w:val="0"/>
          <w:color w:val="4285F4"/>
          <w:spacing w:val="0"/>
          <w:sz w:val="24"/>
          <w:szCs w:val="24"/>
          <w:shd w:val="clear" w:fill="FFFFFF"/>
        </w:rPr>
        <w:t>如何在新电子税务局进行税收减免报告？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88" w:beforeAutospacing="0" w:after="0" w:afterAutospacing="0"/>
        <w:ind w:left="0" w:right="0" w:firstLine="0"/>
        <w:jc w:val="left"/>
        <w:rPr>
          <w:rFonts w:ascii="PingFang SC-Regular" w:hAnsi="PingFang SC-Regular" w:eastAsia="PingFang SC-Regular" w:cs="PingFang SC-Regular"/>
          <w:i w:val="0"/>
          <w:caps w:val="0"/>
          <w:color w:val="000000"/>
          <w:spacing w:val="0"/>
          <w:sz w:val="21"/>
          <w:szCs w:val="21"/>
        </w:rPr>
      </w:pPr>
      <w:bookmarkStart w:id="6" w:name="_GoBack"/>
      <w:bookmarkEnd w:id="6"/>
      <w:r>
        <w:rPr>
          <w:rFonts w:hint="default" w:ascii="PingFang SC-Regular" w:hAnsi="PingFang SC-Regular" w:eastAsia="PingFang SC-Regular" w:cs="PingFang SC-Regular"/>
          <w:i w:val="0"/>
          <w:caps w:val="0"/>
          <w:color w:val="000000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文本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315" w:lineRule="atLeast"/>
        <w:ind w:left="0" w:firstLine="475"/>
        <w:jc w:val="left"/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您好，纳税人享受安置残疾人就业增值税即征即退、新型墙体材料增值税即征即退、飞机维修劳务增值税即征即退、光伏发电增值税即征即退、铂金增值税即征即退、黄金期货交易增值税即征即退、风力发电增值税即征即退、软件产品增值税即征即退、有形动产融资租赁服务增值税即征即退、资源综合利用产品及劳务增值税即征即退、管道运输服务增值税即征即退、动漫企业增值税即征即退等增值税即征即退政策时，可以通过电子税务局办理税收减免报告。具体操作步骤如下：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ind w:left="0" w:firstLine="475"/>
        <w:jc w:val="left"/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一、登录电子税务局后，点击【我要办税】-【税收减免】-【税收减免报告】功能菜单。如图1所示。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bdr w:val="none" w:color="auto" w:sz="0" w:space="0"/>
          <w:shd w:val="clear" w:fill="FFFFFF"/>
        </w:rPr>
        <w:drawing>
          <wp:inline distT="0" distB="0" distL="114300" distR="114300">
            <wp:extent cx="5276850" cy="2419350"/>
            <wp:effectExtent l="0" t="0" r="11430" b="381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419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图片 7"/>
      <w:bookmarkEnd w:id="0"/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图1 税收减免报告功能菜单界面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ind w:left="0" w:firstLine="475"/>
        <w:jc w:val="left"/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二、进入系统后，您选择“减免税备案事项”，并根据事项选择享受税收优惠的起止时间，如图2所示。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bdr w:val="none" w:color="auto" w:sz="0" w:space="0"/>
          <w:shd w:val="clear" w:fill="FFFFFF"/>
        </w:rPr>
        <w:drawing>
          <wp:inline distT="0" distB="0" distL="114300" distR="114300">
            <wp:extent cx="5276850" cy="2419350"/>
            <wp:effectExtent l="0" t="0" r="11430" b="3810"/>
            <wp:docPr id="3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419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1" w:name="图片 8"/>
      <w:bookmarkEnd w:id="1"/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图2 减免税备案事项界面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ind w:left="0" w:firstLine="475"/>
        <w:jc w:val="left"/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三、系统根据您选择的“减免税备案事项”，自动带出该事项需要上传的附列资料，您分别点击“上传”操作，进行附报资料上传并提交，如图3所示。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bdr w:val="none" w:color="auto" w:sz="0" w:space="0"/>
          <w:shd w:val="clear" w:fill="FFFFFF"/>
        </w:rPr>
        <w:drawing>
          <wp:inline distT="0" distB="0" distL="114300" distR="114300">
            <wp:extent cx="5276850" cy="2419350"/>
            <wp:effectExtent l="0" t="0" r="11430" b="3810"/>
            <wp:docPr id="4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419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2" w:name="图片 9"/>
      <w:bookmarkEnd w:id="2"/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图3 附报资料上传界面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ind w:left="0" w:firstLine="475"/>
        <w:jc w:val="left"/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四、如果您选择的减免税报告事项为“安置残疾人就业增值税即征即退”，系统检查您是否维护职工名册，未维护系统会提示您，您点击【去维护】后进入职工名册，后续流程详见“职工维护”操作手册，如图4所示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bdr w:val="none" w:color="auto" w:sz="0" w:space="0"/>
          <w:shd w:val="clear" w:fill="FFFFFF"/>
        </w:rPr>
        <w:drawing>
          <wp:inline distT="0" distB="0" distL="114300" distR="114300">
            <wp:extent cx="5276850" cy="2419350"/>
            <wp:effectExtent l="0" t="0" r="11430" b="3810"/>
            <wp:docPr id="5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419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3" w:name="图片 10"/>
      <w:bookmarkEnd w:id="3"/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图4“安置残疾人就业增值税即征即退”减免税备案界面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ind w:left="0" w:firstLine="475"/>
        <w:jc w:val="left"/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五、确认数据无误后，点击【提交】后，系统进入提交，如图5所示。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bdr w:val="none" w:color="auto" w:sz="0" w:space="0"/>
          <w:shd w:val="clear" w:fill="FFFFFF"/>
        </w:rPr>
        <w:drawing>
          <wp:inline distT="0" distB="0" distL="114300" distR="114300">
            <wp:extent cx="5276850" cy="2419350"/>
            <wp:effectExtent l="0" t="0" r="11430" b="3810"/>
            <wp:docPr id="6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IMG_2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419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4" w:name="图片 11"/>
      <w:bookmarkEnd w:id="4"/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图5 附列资料提交界面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ind w:left="0" w:firstLine="475"/>
        <w:jc w:val="left"/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六、显示办理成功，即完成“减免税报告事项”报告业务办理，如图6所示。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bdr w:val="none" w:color="auto" w:sz="0" w:space="0"/>
          <w:shd w:val="clear" w:fill="FFFFFF"/>
        </w:rPr>
        <w:drawing>
          <wp:inline distT="0" distB="0" distL="114300" distR="114300">
            <wp:extent cx="5276850" cy="2419350"/>
            <wp:effectExtent l="0" t="0" r="11430" b="3810"/>
            <wp:docPr id="2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6" descr="IMG_26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419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5" w:name="图片 12"/>
      <w:bookmarkEnd w:id="5"/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jc w:val="center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图6 办理成功界面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88" w:lineRule="atLeast"/>
        <w:ind w:left="0" w:firstLine="475"/>
        <w:jc w:val="left"/>
        <w:rPr>
          <w:i w:val="0"/>
          <w:spacing w:val="0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19"/>
          <w:szCs w:val="19"/>
          <w:shd w:val="clear" w:fill="FFFFFF"/>
        </w:rPr>
        <w:t>注意：享受减税、免税优惠的纳税人，减税、免税期满，应当自期满次日起恢复纳税；不再符合减税、免税条件的，应当依法履行纳税义务；未依法纳税的，税务机关应当予以追缴。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ingFang SC-Regular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PingFang SC-Bold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4951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2023-12-13T04:49:32Z</dcterms:created>
  <dc:creator>Administrator</dc:creator>
  <cp:lastModifiedBy>于春晖</cp:lastModifiedBy>
  <dcterms:modified xsi:type="dcterms:W3CDTF">2023-12-13T04:51:24Z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